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b/>
          <w:bCs/>
          <w:snapToGrid w:val="0"/>
          <w:kern w:val="0"/>
          <w:sz w:val="28"/>
          <w:szCs w:val="28"/>
        </w:rPr>
      </w:pPr>
      <w:r>
        <w:rPr>
          <w:b/>
          <w:bCs/>
          <w:snapToGrid w:val="0"/>
          <w:kern w:val="0"/>
          <w:sz w:val="28"/>
          <w:szCs w:val="28"/>
        </w:rPr>
        <w:pict>
          <v:shape id="文本框 299" o:spid="_x0000_s1027" o:spt="202" type="#_x0000_t202" style="position:absolute;left:0pt;margin-left:45.7pt;margin-top:-3.3pt;height:46.8pt;width:294.8pt;z-index:251659264;mso-width-relative:margin;mso-height-relative:margin;" stroked="t" coordsize="21600,21600">
            <v:path/>
            <v:fill focussize="0,0"/>
            <v:stroke color="#FFFFFF" joinstyle="miter"/>
            <v:imagedata o:title=""/>
            <o:lock v:ext="edit"/>
            <v:textbo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v:textbox>
          </v:shape>
        </w:pict>
      </w:r>
      <w:r>
        <w:rPr>
          <w:b/>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6"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pPr>
        <w:ind w:left="682" w:leftChars="-203" w:hanging="1108" w:hangingChars="154"/>
        <w:rPr>
          <w:sz w:val="72"/>
          <w:szCs w:val="72"/>
        </w:rPr>
      </w:pPr>
    </w:p>
    <w:p>
      <w:pPr>
        <w:ind w:left="682" w:leftChars="-203" w:hanging="1108" w:hangingChars="154"/>
        <w:rPr>
          <w:sz w:val="72"/>
          <w:szCs w:val="72"/>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r>
        <w:rPr>
          <w:rFonts w:hint="eastAsia"/>
          <w:b/>
          <w:bCs/>
          <w:snapToGrid w:val="0"/>
          <w:kern w:val="0"/>
          <w:sz w:val="28"/>
          <w:szCs w:val="28"/>
        </w:rPr>
        <w:t xml:space="preserve"> </w:t>
      </w:r>
    </w:p>
    <w:p>
      <w:pPr>
        <w:adjustRightInd w:val="0"/>
        <w:snapToGrid w:val="0"/>
        <w:spacing w:line="300" w:lineRule="auto"/>
        <w:jc w:val="left"/>
        <w:rPr>
          <w:b/>
          <w:bCs/>
          <w:snapToGrid w:val="0"/>
          <w:kern w:val="0"/>
          <w:sz w:val="28"/>
          <w:szCs w:val="28"/>
        </w:rPr>
      </w:pPr>
    </w:p>
    <w:p>
      <w:pPr>
        <w:adjustRightInd w:val="0"/>
        <w:snapToGrid w:val="0"/>
        <w:spacing w:line="300" w:lineRule="auto"/>
        <w:jc w:val="center"/>
        <w:rPr>
          <w:rFonts w:hint="eastAsia" w:asciiTheme="minorEastAsia" w:hAnsiTheme="minorEastAsia" w:eastAsiaTheme="minorEastAsia"/>
          <w:b/>
          <w:snapToGrid w:val="0"/>
          <w:kern w:val="0"/>
          <w:sz w:val="72"/>
          <w:szCs w:val="72"/>
          <w:lang w:eastAsia="zh-CN"/>
        </w:rPr>
      </w:pPr>
      <w:r>
        <w:rPr>
          <w:rFonts w:hint="eastAsia" w:asciiTheme="minorEastAsia" w:hAnsiTheme="minorEastAsia" w:eastAsiaTheme="minorEastAsia"/>
          <w:b/>
          <w:bCs/>
          <w:snapToGrid w:val="0"/>
          <w:kern w:val="0"/>
          <w:sz w:val="72"/>
          <w:szCs w:val="72"/>
          <w:lang w:eastAsia="zh-CN"/>
        </w:rPr>
        <w:t>狂犬病免疫效价监测委托业务</w:t>
      </w: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Theme="minorEastAsia" w:hAnsiTheme="minorEastAsia" w:eastAsiaTheme="minorEastAsia"/>
          <w:b/>
          <w:snapToGrid w:val="0"/>
          <w:kern w:val="0"/>
          <w:sz w:val="90"/>
        </w:rPr>
      </w:pPr>
      <w:r>
        <w:rPr>
          <w:rFonts w:hint="eastAsia" w:asciiTheme="minorEastAsia" w:hAnsiTheme="minorEastAsia" w:eastAsiaTheme="minorEastAsia"/>
          <w:b/>
          <w:snapToGrid w:val="0"/>
          <w:kern w:val="0"/>
          <w:sz w:val="90"/>
        </w:rPr>
        <w:t>服务类招标文件</w:t>
      </w:r>
    </w:p>
    <w:p>
      <w:pPr>
        <w:adjustRightInd w:val="0"/>
        <w:snapToGrid w:val="0"/>
        <w:spacing w:line="300" w:lineRule="auto"/>
        <w:jc w:val="center"/>
        <w:rPr>
          <w:rFonts w:ascii="经典等线简" w:eastAsia="经典等线简"/>
          <w:b/>
          <w:snapToGrid w:val="0"/>
          <w:kern w:val="0"/>
          <w:sz w:val="32"/>
        </w:rPr>
      </w:pPr>
    </w:p>
    <w:p>
      <w:pPr>
        <w:adjustRightInd w:val="0"/>
        <w:snapToGrid w:val="0"/>
        <w:spacing w:line="300" w:lineRule="auto"/>
        <w:jc w:val="center"/>
        <w:rPr>
          <w:rFonts w:hint="eastAsia" w:asciiTheme="minorEastAsia" w:hAnsiTheme="minorEastAsia" w:eastAsiaTheme="minorEastAsia"/>
          <w:b/>
          <w:snapToGrid w:val="0"/>
          <w:kern w:val="0"/>
          <w:sz w:val="32"/>
          <w:lang w:eastAsia="zh-CN"/>
        </w:rPr>
      </w:pPr>
      <w:r>
        <w:rPr>
          <w:rFonts w:hint="eastAsia" w:asciiTheme="minorEastAsia" w:hAnsiTheme="minorEastAsia" w:eastAsiaTheme="minorEastAsia"/>
          <w:b/>
          <w:snapToGrid w:val="0"/>
          <w:kern w:val="0"/>
          <w:sz w:val="32"/>
        </w:rPr>
        <w:t>项目编号：</w:t>
      </w:r>
      <w:r>
        <w:rPr>
          <w:rFonts w:hint="eastAsia" w:asciiTheme="minorEastAsia" w:hAnsiTheme="minorEastAsia" w:eastAsiaTheme="minorEastAsia"/>
          <w:b/>
          <w:snapToGrid w:val="0"/>
          <w:kern w:val="0"/>
          <w:sz w:val="32"/>
          <w:lang w:eastAsia="zh-CN"/>
        </w:rPr>
        <w:t>SZZZ2024-QC0166</w:t>
      </w:r>
    </w:p>
    <w:p>
      <w:pPr>
        <w:adjustRightInd w:val="0"/>
        <w:snapToGrid w:val="0"/>
        <w:spacing w:line="300" w:lineRule="auto"/>
        <w:jc w:val="center"/>
        <w:rPr>
          <w:rFonts w:ascii="经典等线简" w:eastAsia="经典等线简"/>
          <w:b/>
          <w:snapToGrid w:val="0"/>
          <w:kern w:val="0"/>
          <w:sz w:val="18"/>
          <w:szCs w:val="18"/>
        </w:rPr>
      </w:pPr>
    </w:p>
    <w:p>
      <w:pPr>
        <w:adjustRightInd w:val="0"/>
        <w:snapToGrid w:val="0"/>
        <w:spacing w:line="300" w:lineRule="auto"/>
        <w:jc w:val="center"/>
        <w:rPr>
          <w:rFonts w:eastAsia="经典标宋简"/>
          <w:b/>
          <w:snapToGrid w:val="0"/>
          <w:kern w:val="0"/>
          <w:sz w:val="44"/>
        </w:rPr>
      </w:pPr>
    </w:p>
    <w:p>
      <w:pPr>
        <w:adjustRightInd w:val="0"/>
        <w:snapToGrid w:val="0"/>
        <w:spacing w:line="300" w:lineRule="auto"/>
        <w:jc w:val="center"/>
      </w:pPr>
      <w:r>
        <w:rPr>
          <w:rFonts w:eastAsia="经典标宋简"/>
          <w:b/>
          <w:snapToGrid w:val="0"/>
          <w:kern w:val="0"/>
          <w:sz w:val="44"/>
        </w:rPr>
        <w:t xml:space="preserve"> </w:t>
      </w:r>
    </w:p>
    <w:p/>
    <w:p/>
    <w:p/>
    <w:p/>
    <w:p/>
    <w:p/>
    <w:p>
      <w:pPr>
        <w:pStyle w:val="28"/>
        <w:adjustRightInd w:val="0"/>
        <w:snapToGrid w:val="0"/>
        <w:spacing w:line="300" w:lineRule="auto"/>
        <w:ind w:hanging="835"/>
        <w:jc w:val="center"/>
        <w:rPr>
          <w:b/>
          <w:kern w:val="0"/>
          <w:sz w:val="28"/>
          <w:szCs w:val="28"/>
        </w:rPr>
      </w:pPr>
      <w:r>
        <w:rPr>
          <w:rFonts w:hint="eastAsia"/>
          <w:b/>
          <w:snapToGrid w:val="0"/>
          <w:sz w:val="30"/>
        </w:rPr>
        <w:t>二〇二四年</w:t>
      </w:r>
      <w:r>
        <w:rPr>
          <w:rFonts w:hint="eastAsia"/>
          <w:b/>
          <w:snapToGrid w:val="0"/>
          <w:sz w:val="30"/>
          <w:lang w:val="en-US" w:eastAsia="zh-CN"/>
        </w:rPr>
        <w:t>四</w:t>
      </w:r>
      <w:r>
        <w:rPr>
          <w:rFonts w:hint="eastAsia"/>
          <w:b/>
          <w:snapToGrid w:val="0"/>
          <w:sz w:val="30"/>
        </w:rPr>
        <w:t>月</w:t>
      </w:r>
    </w:p>
    <w:p/>
    <w:p/>
    <w:p/>
    <w:p>
      <w:pPr>
        <w:jc w:val="center"/>
        <w:rPr>
          <w:rFonts w:asciiTheme="minorEastAsia" w:hAnsiTheme="minorEastAsia" w:eastAsiaTheme="minorEastAsia"/>
          <w:b/>
          <w:bCs/>
          <w:szCs w:val="21"/>
        </w:rPr>
      </w:pPr>
    </w:p>
    <w:p>
      <w:pPr>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特别警示条款</w:t>
      </w:r>
    </w:p>
    <w:p>
      <w:pPr>
        <w:spacing w:line="360" w:lineRule="auto"/>
        <w:ind w:firstLine="480" w:firstLineChars="200"/>
        <w:rPr>
          <w:rFonts w:ascii="宋体" w:hAnsi="宋体"/>
          <w:sz w:val="24"/>
        </w:rPr>
      </w:pPr>
    </w:p>
    <w:p>
      <w:pPr>
        <w:spacing w:line="440" w:lineRule="exact"/>
        <w:ind w:firstLine="480" w:firstLineChars="200"/>
        <w:rPr>
          <w:rFonts w:ascii="仿宋" w:hAnsi="仿宋" w:eastAsia="仿宋"/>
          <w:sz w:val="24"/>
        </w:rPr>
      </w:pPr>
      <w:r>
        <w:rPr>
          <w:rFonts w:hint="eastAsia" w:ascii="仿宋" w:hAnsi="仿宋" w:eastAsia="仿宋"/>
          <w:sz w:val="24"/>
        </w:rPr>
        <w:t>一、《深圳经济特区政府采购条例》</w:t>
      </w:r>
    </w:p>
    <w:p>
      <w:pPr>
        <w:spacing w:line="440" w:lineRule="exact"/>
        <w:ind w:firstLine="480" w:firstLineChars="200"/>
        <w:rPr>
          <w:rFonts w:ascii="仿宋" w:hAnsi="仿宋" w:eastAsia="仿宋"/>
          <w:sz w:val="24"/>
        </w:rPr>
      </w:pPr>
      <w:r>
        <w:rPr>
          <w:rFonts w:hint="eastAsia" w:ascii="仿宋" w:hAnsi="仿宋" w:eastAsia="仿宋"/>
          <w:sz w:val="24"/>
        </w:rPr>
        <w:t>第五十七条</w:t>
      </w:r>
      <w:r>
        <w:rPr>
          <w:rFonts w:ascii="仿宋" w:hAnsi="仿宋" w:eastAsia="仿宋"/>
          <w:sz w:val="24"/>
        </w:rPr>
        <w:t xml:space="preserve"> </w:t>
      </w:r>
      <w:r>
        <w:rPr>
          <w:rFonts w:hint="eastAsia" w:ascii="仿宋" w:hAnsi="仿宋" w:eastAsia="仿宋"/>
          <w:sz w:val="24"/>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spacing w:line="440" w:lineRule="exact"/>
        <w:ind w:firstLine="480" w:firstLineChars="200"/>
        <w:rPr>
          <w:rFonts w:ascii="仿宋" w:hAnsi="仿宋" w:eastAsia="仿宋"/>
          <w:sz w:val="24"/>
        </w:rPr>
      </w:pPr>
      <w:r>
        <w:rPr>
          <w:rFonts w:hint="eastAsia" w:ascii="仿宋" w:hAnsi="仿宋" w:eastAsia="仿宋"/>
          <w:sz w:val="24"/>
        </w:rPr>
        <w:t>（一）在采购活动中应当回避而未回避的；</w:t>
      </w:r>
    </w:p>
    <w:p>
      <w:pPr>
        <w:spacing w:line="440" w:lineRule="exact"/>
        <w:ind w:firstLine="480" w:firstLineChars="200"/>
        <w:rPr>
          <w:rFonts w:ascii="仿宋" w:hAnsi="仿宋" w:eastAsia="仿宋"/>
          <w:sz w:val="24"/>
        </w:rPr>
      </w:pPr>
      <w:r>
        <w:rPr>
          <w:rFonts w:hint="eastAsia" w:ascii="仿宋" w:hAnsi="仿宋" w:eastAsia="仿宋"/>
          <w:sz w:val="24"/>
        </w:rPr>
        <w:t>（二）未按本条例规定签订、履行采购合同，造成严重后果的；</w:t>
      </w:r>
    </w:p>
    <w:p>
      <w:pPr>
        <w:spacing w:line="440" w:lineRule="exact"/>
        <w:ind w:firstLine="480" w:firstLineChars="200"/>
        <w:rPr>
          <w:rFonts w:ascii="仿宋" w:hAnsi="仿宋" w:eastAsia="仿宋"/>
          <w:sz w:val="24"/>
        </w:rPr>
      </w:pPr>
      <w:r>
        <w:rPr>
          <w:rFonts w:hint="eastAsia" w:ascii="仿宋" w:hAnsi="仿宋" w:eastAsia="仿宋"/>
          <w:sz w:val="24"/>
        </w:rPr>
        <w:t>（三）隐瞒真实情况，提供虚假资料的；</w:t>
      </w:r>
    </w:p>
    <w:p>
      <w:pPr>
        <w:spacing w:line="440" w:lineRule="exact"/>
        <w:ind w:firstLine="480" w:firstLineChars="200"/>
        <w:rPr>
          <w:rFonts w:ascii="仿宋" w:hAnsi="仿宋" w:eastAsia="仿宋"/>
          <w:sz w:val="24"/>
        </w:rPr>
      </w:pPr>
      <w:r>
        <w:rPr>
          <w:rFonts w:hint="eastAsia" w:ascii="仿宋" w:hAnsi="仿宋" w:eastAsia="仿宋"/>
          <w:sz w:val="24"/>
        </w:rPr>
        <w:t>（四）以非法手段排斥其他供应商参与竞争的；</w:t>
      </w:r>
    </w:p>
    <w:p>
      <w:pPr>
        <w:spacing w:line="440" w:lineRule="exact"/>
        <w:ind w:firstLine="480" w:firstLineChars="200"/>
        <w:rPr>
          <w:rFonts w:ascii="仿宋" w:hAnsi="仿宋" w:eastAsia="仿宋"/>
          <w:sz w:val="24"/>
        </w:rPr>
      </w:pPr>
      <w:r>
        <w:rPr>
          <w:rFonts w:hint="eastAsia" w:ascii="仿宋" w:hAnsi="仿宋" w:eastAsia="仿宋"/>
          <w:sz w:val="24"/>
        </w:rPr>
        <w:t>（五）与其他采购参加人串通投标的；</w:t>
      </w:r>
    </w:p>
    <w:p>
      <w:pPr>
        <w:spacing w:line="440" w:lineRule="exact"/>
        <w:ind w:firstLine="480" w:firstLineChars="200"/>
        <w:rPr>
          <w:rFonts w:ascii="仿宋" w:hAnsi="仿宋" w:eastAsia="仿宋"/>
          <w:sz w:val="24"/>
        </w:rPr>
      </w:pPr>
      <w:r>
        <w:rPr>
          <w:rFonts w:hint="eastAsia" w:ascii="仿宋" w:hAnsi="仿宋" w:eastAsia="仿宋"/>
          <w:sz w:val="24"/>
        </w:rPr>
        <w:t>（六）恶意投诉的；</w:t>
      </w:r>
    </w:p>
    <w:p>
      <w:pPr>
        <w:spacing w:line="440" w:lineRule="exact"/>
        <w:ind w:firstLine="480" w:firstLineChars="200"/>
        <w:rPr>
          <w:rFonts w:ascii="仿宋" w:hAnsi="仿宋" w:eastAsia="仿宋"/>
          <w:sz w:val="24"/>
        </w:rPr>
      </w:pPr>
      <w:r>
        <w:rPr>
          <w:rFonts w:hint="eastAsia" w:ascii="仿宋" w:hAnsi="仿宋" w:eastAsia="仿宋"/>
          <w:sz w:val="24"/>
        </w:rPr>
        <w:t>（七）向采购项目相关人行贿或者提供其他不当利益的；</w:t>
      </w:r>
    </w:p>
    <w:p>
      <w:pPr>
        <w:spacing w:line="440" w:lineRule="exact"/>
        <w:ind w:firstLine="480" w:firstLineChars="200"/>
        <w:rPr>
          <w:rFonts w:ascii="仿宋" w:hAnsi="仿宋" w:eastAsia="仿宋"/>
          <w:sz w:val="24"/>
        </w:rPr>
      </w:pPr>
      <w:r>
        <w:rPr>
          <w:rFonts w:hint="eastAsia" w:ascii="仿宋" w:hAnsi="仿宋" w:eastAsia="仿宋"/>
          <w:sz w:val="24"/>
        </w:rPr>
        <w:t>（八）阻碍、抗拒主管部门监督检查的；</w:t>
      </w:r>
    </w:p>
    <w:p>
      <w:pPr>
        <w:spacing w:line="440" w:lineRule="exact"/>
        <w:ind w:firstLine="480" w:firstLineChars="200"/>
        <w:rPr>
          <w:rFonts w:ascii="仿宋" w:hAnsi="仿宋" w:eastAsia="仿宋"/>
          <w:sz w:val="24"/>
        </w:rPr>
      </w:pPr>
      <w:r>
        <w:rPr>
          <w:rFonts w:hint="eastAsia" w:ascii="仿宋" w:hAnsi="仿宋" w:eastAsia="仿宋"/>
          <w:sz w:val="24"/>
        </w:rPr>
        <w:t>（九）其他违反本条例规定的行为。</w:t>
      </w:r>
    </w:p>
    <w:p>
      <w:pPr>
        <w:spacing w:line="440" w:lineRule="exact"/>
        <w:ind w:firstLine="480" w:firstLineChars="200"/>
        <w:rPr>
          <w:rFonts w:ascii="仿宋" w:hAnsi="仿宋" w:eastAsia="仿宋"/>
          <w:sz w:val="24"/>
        </w:rPr>
      </w:pPr>
    </w:p>
    <w:p>
      <w:pPr>
        <w:spacing w:line="440" w:lineRule="exact"/>
        <w:ind w:firstLine="480" w:firstLineChars="200"/>
        <w:rPr>
          <w:rFonts w:ascii="仿宋" w:hAnsi="仿宋" w:eastAsia="仿宋"/>
          <w:sz w:val="24"/>
        </w:rPr>
      </w:pPr>
      <w:r>
        <w:rPr>
          <w:rFonts w:hint="eastAsia" w:ascii="仿宋" w:hAnsi="仿宋" w:eastAsia="仿宋"/>
          <w:sz w:val="24"/>
        </w:rPr>
        <w:t>二、《深圳经济特区政府采购条例实施细则》</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第七十九条 供应商有下列情形的，属于采购条例所称的串通投标行为，按照采购条例第五十七条有关规定处理：</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（一）投标供应商之间相互约定给予未中标的供应商利益补偿；</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 xml:space="preserve">（二）不同投标供应商的法定代表人、主要经营负责人、项目投标授权代表人、项目负责人、主要技术人员为同一人、属同一单位或者在同一单位缴纳社会保险；          </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（三）不同投标供应商的投标文件由同一单位或者同一人编制，或者由同一人分阶段参与编制的；</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（四）不同投标供应商的投标文件或部分投标文件相互混装；</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（五）不同投标供应商的投标文件内容存在非正常一致；</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（六）由同一单位工作人员为两家以上（含两家）供应商进行同一项投标活动的；</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（七）主管部门依照法律、法规认定的其他情形。</w:t>
      </w:r>
    </w:p>
    <w:p>
      <w:pPr>
        <w:spacing w:line="440" w:lineRule="exact"/>
        <w:ind w:firstLine="480" w:firstLineChars="200"/>
        <w:rPr>
          <w:rFonts w:ascii="仿宋" w:hAnsi="仿宋" w:eastAsia="仿宋"/>
          <w:sz w:val="24"/>
        </w:rPr>
      </w:pPr>
      <w:r>
        <w:rPr>
          <w:rFonts w:hint="eastAsia" w:ascii="仿宋" w:hAnsi="仿宋" w:eastAsia="仿宋"/>
          <w:sz w:val="24"/>
        </w:rPr>
        <w:t>第八十一条 供应商有下列情形之一的，属于隐瞒真实情况，提供虚假资料，按照采购条例第五十七的有关规定处理：</w:t>
      </w:r>
    </w:p>
    <w:p>
      <w:pPr>
        <w:spacing w:line="440" w:lineRule="exact"/>
        <w:ind w:firstLine="480" w:firstLineChars="200"/>
        <w:rPr>
          <w:rFonts w:ascii="仿宋" w:hAnsi="仿宋" w:eastAsia="仿宋"/>
          <w:sz w:val="24"/>
        </w:rPr>
      </w:pPr>
      <w:r>
        <w:rPr>
          <w:rFonts w:hint="eastAsia" w:ascii="仿宋" w:hAnsi="仿宋" w:eastAsia="仿宋"/>
          <w:sz w:val="24"/>
        </w:rPr>
        <w:t>（一）通过转让或者租借等方式从其他单位获取资格或者资质证书投标的；</w:t>
      </w:r>
    </w:p>
    <w:p>
      <w:pPr>
        <w:spacing w:line="440" w:lineRule="exact"/>
        <w:ind w:firstLine="480" w:firstLineChars="200"/>
        <w:rPr>
          <w:rFonts w:ascii="仿宋" w:hAnsi="仿宋" w:eastAsia="仿宋"/>
          <w:sz w:val="24"/>
        </w:rPr>
      </w:pPr>
      <w:r>
        <w:rPr>
          <w:rFonts w:hint="eastAsia" w:ascii="仿宋" w:hAnsi="仿宋" w:eastAsia="仿宋"/>
          <w:sz w:val="24"/>
        </w:rPr>
        <w:t>（二）由其他单位或者其他单位负责人在投标供应商编制的投标文件上加盖印章或者签字的；</w:t>
      </w:r>
    </w:p>
    <w:p>
      <w:pPr>
        <w:spacing w:line="440" w:lineRule="exact"/>
        <w:ind w:firstLine="480" w:firstLineChars="200"/>
        <w:rPr>
          <w:rFonts w:ascii="仿宋" w:hAnsi="仿宋" w:eastAsia="仿宋"/>
          <w:sz w:val="24"/>
        </w:rPr>
      </w:pPr>
      <w:r>
        <w:rPr>
          <w:rFonts w:hint="eastAsia" w:ascii="仿宋" w:hAnsi="仿宋" w:eastAsia="仿宋"/>
          <w:sz w:val="24"/>
        </w:rPr>
        <w:t>（三）项目负责人或者主要技术人员不是本单位人员的；</w:t>
      </w:r>
    </w:p>
    <w:p>
      <w:pPr>
        <w:spacing w:line="440" w:lineRule="exact"/>
        <w:ind w:firstLine="480" w:firstLineChars="200"/>
        <w:rPr>
          <w:rFonts w:ascii="仿宋" w:hAnsi="仿宋" w:eastAsia="仿宋"/>
          <w:sz w:val="24"/>
        </w:rPr>
      </w:pPr>
      <w:r>
        <w:rPr>
          <w:rFonts w:hint="eastAsia" w:ascii="仿宋" w:hAnsi="仿宋" w:eastAsia="仿宋"/>
          <w:sz w:val="24"/>
        </w:rPr>
        <w:t>（四）投标保证金不是从投标供应商基本账户转出的；</w:t>
      </w:r>
    </w:p>
    <w:p>
      <w:pPr>
        <w:spacing w:line="440" w:lineRule="exact"/>
        <w:ind w:firstLine="480" w:firstLineChars="200"/>
        <w:rPr>
          <w:rFonts w:ascii="仿宋" w:hAnsi="仿宋" w:eastAsia="仿宋"/>
          <w:sz w:val="24"/>
        </w:rPr>
      </w:pPr>
      <w:r>
        <w:rPr>
          <w:rFonts w:hint="eastAsia" w:ascii="仿宋" w:hAnsi="仿宋" w:eastAsia="仿宋"/>
          <w:sz w:val="24"/>
        </w:rPr>
        <w:t>（五）其他隐瞒真实情况、提供虚假资料的行为。</w:t>
      </w:r>
    </w:p>
    <w:p>
      <w:pPr>
        <w:spacing w:line="440" w:lineRule="exact"/>
        <w:ind w:firstLine="424" w:firstLineChars="177"/>
        <w:rPr>
          <w:rFonts w:ascii="仿宋" w:hAnsi="仿宋" w:eastAsia="仿宋"/>
          <w:sz w:val="24"/>
        </w:rPr>
      </w:pPr>
      <w:r>
        <w:rPr>
          <w:rFonts w:hint="eastAsia" w:ascii="仿宋" w:hAnsi="仿宋" w:eastAsia="仿宋"/>
          <w:sz w:val="24"/>
        </w:rPr>
        <w:t>投标供应商不能提供项目负责人或者主要技术人员的劳动合同、社会保险等劳动关系证明材料的，视为存在前款第（三）项规定的情形。</w:t>
      </w: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三、根据《中华人民共和国政府采购法实施条例》第十八条规定：“单位负责人为同一人或者存在直接控股、管理关系的不同供应商，不得参加同一合同项下的政府采购活动。”</w:t>
      </w: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投标供应商涉嫌存在串通投标等违法行为的，将书面报告财政主管部门依法处理。</w:t>
      </w: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sdt>
      <w:sdtPr>
        <w:rPr>
          <w:rFonts w:ascii="Times New Roman" w:hAnsi="Times New Roman" w:eastAsia="宋体" w:cs="Times New Roman"/>
          <w:b w:val="0"/>
          <w:bCs w:val="0"/>
          <w:iCs/>
          <w:smallCaps/>
          <w:color w:val="auto"/>
          <w:kern w:val="2"/>
          <w:sz w:val="21"/>
          <w:szCs w:val="24"/>
          <w:lang w:val="zh-CN"/>
        </w:rPr>
        <w:id w:val="11733101"/>
        <w:docPartObj>
          <w:docPartGallery w:val="Table of Contents"/>
          <w:docPartUnique/>
        </w:docPartObj>
      </w:sdtPr>
      <w:sdtEndPr>
        <w:rPr>
          <w:rFonts w:ascii="Times New Roman" w:hAnsi="Times New Roman" w:eastAsia="宋体" w:cs="Times New Roman"/>
          <w:b w:val="0"/>
          <w:bCs w:val="0"/>
          <w:iCs w:val="0"/>
          <w:smallCaps/>
          <w:color w:val="auto"/>
          <w:kern w:val="2"/>
          <w:sz w:val="21"/>
          <w:szCs w:val="24"/>
          <w:lang w:val="en-US"/>
        </w:rPr>
      </w:sdtEndPr>
      <w:sdtContent>
        <w:p>
          <w:pPr>
            <w:pStyle w:val="504"/>
            <w:jc w:val="center"/>
            <w:rPr>
              <w:rFonts w:ascii="Times New Roman" w:hAnsi="Times New Roman" w:eastAsia="宋体" w:cs="Times New Roman"/>
              <w:b w:val="0"/>
              <w:bCs w:val="0"/>
              <w:iCs/>
              <w:smallCaps/>
              <w:color w:val="auto"/>
              <w:kern w:val="2"/>
              <w:sz w:val="21"/>
              <w:szCs w:val="24"/>
              <w:lang w:val="zh-CN"/>
            </w:rPr>
          </w:pPr>
        </w:p>
        <w:p>
          <w:pPr>
            <w:pStyle w:val="504"/>
            <w:jc w:val="center"/>
            <w:rPr>
              <w:rFonts w:ascii="Times New Roman" w:hAnsi="Times New Roman" w:eastAsia="宋体" w:cs="Times New Roman"/>
              <w:b w:val="0"/>
              <w:bCs w:val="0"/>
              <w:iCs/>
              <w:smallCaps/>
              <w:color w:val="auto"/>
              <w:kern w:val="2"/>
              <w:sz w:val="21"/>
              <w:szCs w:val="24"/>
              <w:lang w:val="zh-CN"/>
            </w:rPr>
          </w:pPr>
          <w:r>
            <w:rPr>
              <w:color w:val="000000" w:themeColor="text1"/>
              <w:lang w:val="zh-CN"/>
            </w:rPr>
            <w:t>目</w:t>
          </w:r>
          <w:r>
            <w:rPr>
              <w:rFonts w:hint="eastAsia"/>
              <w:color w:val="000000" w:themeColor="text1"/>
              <w:lang w:val="zh-CN"/>
            </w:rPr>
            <w:t xml:space="preserve">  </w:t>
          </w:r>
          <w:r>
            <w:rPr>
              <w:color w:val="000000" w:themeColor="text1"/>
              <w:lang w:val="zh-CN"/>
            </w:rPr>
            <w:t>录</w:t>
          </w:r>
        </w:p>
        <w:p>
          <w:pPr>
            <w:pStyle w:val="34"/>
            <w:tabs>
              <w:tab w:val="right" w:leader="dot" w:pos="9628"/>
            </w:tabs>
            <w:rPr>
              <w:rFonts w:ascii="仿宋_GB2312" w:eastAsia="仿宋_GB2312"/>
              <w:sz w:val="24"/>
            </w:rPr>
          </w:pPr>
        </w:p>
        <w:p>
          <w:pPr>
            <w:pStyle w:val="34"/>
            <w:tabs>
              <w:tab w:val="right" w:leader="dot" w:pos="9628"/>
            </w:tabs>
            <w:rPr>
              <w:rFonts w:ascii="仿宋_GB2312" w:eastAsia="仿宋_GB2312" w:hAnsiTheme="minorHAnsi" w:cstheme="minorBidi"/>
              <w:b w:val="0"/>
              <w:bCs w:val="0"/>
              <w:caps w:val="0"/>
              <w:sz w:val="24"/>
            </w:rPr>
          </w:pPr>
          <w:r>
            <w:rPr>
              <w:rFonts w:hint="eastAsia" w:ascii="仿宋_GB2312" w:eastAsia="仿宋_GB2312"/>
              <w:sz w:val="24"/>
            </w:rPr>
            <w:fldChar w:fldCharType="begin"/>
          </w:r>
          <w:r>
            <w:rPr>
              <w:rFonts w:hint="eastAsia" w:ascii="仿宋_GB2312" w:eastAsia="仿宋_GB2312"/>
              <w:sz w:val="24"/>
            </w:rPr>
            <w:instrText xml:space="preserve"> TOC \o "1-3" \h \z \u </w:instrText>
          </w:r>
          <w:r>
            <w:rPr>
              <w:rFonts w:hint="eastAsia" w:ascii="仿宋_GB2312" w:eastAsia="仿宋_GB2312"/>
              <w:sz w:val="24"/>
            </w:rPr>
            <w:fldChar w:fldCharType="separate"/>
          </w:r>
          <w:r>
            <w:fldChar w:fldCharType="begin"/>
          </w:r>
          <w:r>
            <w:instrText xml:space="preserve"> HYPERLINK \l "_Toc135293159" </w:instrText>
          </w:r>
          <w:r>
            <w:fldChar w:fldCharType="separate"/>
          </w:r>
          <w:r>
            <w:rPr>
              <w:rStyle w:val="57"/>
              <w:rFonts w:hint="eastAsia" w:ascii="仿宋_GB2312" w:eastAsia="仿宋_GB2312"/>
              <w:sz w:val="24"/>
            </w:rPr>
            <w:t>第一章  投标邀请</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_Toc135293159 \h </w:instrText>
          </w:r>
          <w:r>
            <w:rPr>
              <w:rFonts w:hint="eastAsia" w:ascii="仿宋_GB2312" w:eastAsia="仿宋_GB2312"/>
              <w:sz w:val="24"/>
            </w:rPr>
            <w:fldChar w:fldCharType="separate"/>
          </w:r>
          <w:r>
            <w:rPr>
              <w:rFonts w:hint="eastAsia" w:ascii="仿宋_GB2312" w:eastAsia="仿宋_GB2312"/>
              <w:sz w:val="24"/>
            </w:rPr>
            <w:t>6</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"_Toc135293160" </w:instrText>
          </w:r>
          <w:r>
            <w:fldChar w:fldCharType="separate"/>
          </w:r>
          <w:r>
            <w:rPr>
              <w:rStyle w:val="57"/>
              <w:rFonts w:hint="eastAsia" w:ascii="仿宋_GB2312" w:eastAsia="仿宋_GB2312"/>
              <w:sz w:val="24"/>
            </w:rPr>
            <w:t>第二章  项目需求</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_Toc135293160 \h </w:instrText>
          </w:r>
          <w:r>
            <w:rPr>
              <w:rFonts w:hint="eastAsia" w:ascii="仿宋_GB2312" w:eastAsia="仿宋_GB2312"/>
              <w:sz w:val="24"/>
            </w:rPr>
            <w:fldChar w:fldCharType="separate"/>
          </w:r>
          <w:r>
            <w:rPr>
              <w:rFonts w:hint="eastAsia" w:ascii="仿宋_GB2312" w:eastAsia="仿宋_GB2312"/>
              <w:sz w:val="24"/>
            </w:rPr>
            <w:t>9</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"_Toc135293161" </w:instrText>
          </w:r>
          <w:r>
            <w:fldChar w:fldCharType="separate"/>
          </w:r>
          <w:r>
            <w:rPr>
              <w:rStyle w:val="57"/>
              <w:rFonts w:hint="eastAsia" w:ascii="仿宋_GB2312" w:eastAsia="仿宋_GB2312"/>
              <w:sz w:val="24"/>
            </w:rPr>
            <w:t>第三章  投标文件初审</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_Toc135293161 \h </w:instrText>
          </w:r>
          <w:r>
            <w:rPr>
              <w:rFonts w:hint="eastAsia" w:ascii="仿宋_GB2312" w:eastAsia="仿宋_GB2312"/>
              <w:sz w:val="24"/>
            </w:rPr>
            <w:fldChar w:fldCharType="separate"/>
          </w:r>
          <w:r>
            <w:rPr>
              <w:rFonts w:hint="eastAsia" w:ascii="仿宋_GB2312" w:eastAsia="仿宋_GB2312"/>
              <w:sz w:val="24"/>
            </w:rPr>
            <w:t>11</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"_Toc135293162" </w:instrText>
          </w:r>
          <w:r>
            <w:fldChar w:fldCharType="separate"/>
          </w:r>
          <w:r>
            <w:rPr>
              <w:rStyle w:val="57"/>
              <w:rFonts w:hint="eastAsia" w:ascii="仿宋_GB2312" w:eastAsia="仿宋_GB2312"/>
              <w:sz w:val="24"/>
            </w:rPr>
            <w:t>第四章  评标方法和标准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_Toc135293162 \h </w:instrText>
          </w:r>
          <w:r>
            <w:rPr>
              <w:rFonts w:hint="eastAsia" w:ascii="仿宋_GB2312" w:eastAsia="仿宋_GB2312"/>
              <w:sz w:val="24"/>
            </w:rPr>
            <w:fldChar w:fldCharType="separate"/>
          </w:r>
          <w:r>
            <w:rPr>
              <w:rFonts w:hint="eastAsia" w:ascii="仿宋_GB2312" w:eastAsia="仿宋_GB2312"/>
              <w:sz w:val="24"/>
            </w:rPr>
            <w:t>13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"_Toc135293163" </w:instrText>
          </w:r>
          <w:r>
            <w:fldChar w:fldCharType="separate"/>
          </w:r>
          <w:r>
            <w:rPr>
              <w:rStyle w:val="57"/>
              <w:rFonts w:hint="eastAsia" w:ascii="仿宋_GB2312" w:eastAsia="仿宋_GB2312"/>
              <w:sz w:val="24"/>
            </w:rPr>
            <w:t>一、评标方法</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_Toc135293163 \h </w:instrText>
          </w:r>
          <w:r>
            <w:rPr>
              <w:rFonts w:hint="eastAsia" w:ascii="仿宋_GB2312" w:eastAsia="仿宋_GB2312"/>
              <w:sz w:val="24"/>
            </w:rPr>
            <w:fldChar w:fldCharType="separate"/>
          </w:r>
          <w:r>
            <w:rPr>
              <w:rFonts w:hint="eastAsia" w:ascii="仿宋_GB2312" w:eastAsia="仿宋_GB2312"/>
              <w:sz w:val="24"/>
            </w:rPr>
            <w:t>13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"_Toc135293164" </w:instrText>
          </w:r>
          <w:r>
            <w:fldChar w:fldCharType="separate"/>
          </w:r>
          <w:r>
            <w:rPr>
              <w:rStyle w:val="57"/>
              <w:rFonts w:hint="eastAsia" w:ascii="仿宋_GB2312" w:eastAsia="仿宋_GB2312"/>
              <w:sz w:val="24"/>
            </w:rPr>
            <w:t>二、评标标准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_Toc135293164 \h </w:instrText>
          </w:r>
          <w:r>
            <w:rPr>
              <w:rFonts w:hint="eastAsia" w:ascii="仿宋_GB2312" w:eastAsia="仿宋_GB2312"/>
              <w:sz w:val="24"/>
            </w:rPr>
            <w:fldChar w:fldCharType="separate"/>
          </w:r>
          <w:r>
            <w:rPr>
              <w:rFonts w:hint="eastAsia" w:ascii="仿宋_GB2312" w:eastAsia="仿宋_GB2312"/>
              <w:sz w:val="24"/>
            </w:rPr>
            <w:t>13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"_Toc135293165" </w:instrText>
          </w:r>
          <w:r>
            <w:fldChar w:fldCharType="separate"/>
          </w:r>
          <w:r>
            <w:rPr>
              <w:rStyle w:val="57"/>
              <w:rFonts w:hint="eastAsia" w:ascii="仿宋_GB2312" w:eastAsia="仿宋_GB2312" w:hAnsiTheme="minorEastAsia"/>
              <w:sz w:val="24"/>
            </w:rPr>
            <w:t>备注：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_Toc135293165 \h </w:instrText>
          </w:r>
          <w:r>
            <w:rPr>
              <w:rFonts w:hint="eastAsia" w:ascii="仿宋_GB2312" w:eastAsia="仿宋_GB2312"/>
              <w:sz w:val="24"/>
            </w:rPr>
            <w:fldChar w:fldCharType="separate"/>
          </w:r>
          <w:r>
            <w:rPr>
              <w:rFonts w:hint="eastAsia" w:ascii="仿宋_GB2312" w:eastAsia="仿宋_GB2312"/>
              <w:sz w:val="24"/>
            </w:rPr>
            <w:t>20</w:t>
          </w:r>
          <w:r>
            <w:rPr>
              <w:rFonts w:hint="eastAsia" w:ascii="仿宋_GB2312" w:eastAsia="仿宋_GB2312"/>
              <w:sz w:val="24"/>
            </w:rPr>
            <w:fldChar w:fldCharType="end"/>
          </w:r>
          <w:r>
            <w:rPr>
              <w:rFonts w:hint="eastAsia" w:ascii="仿宋_GB2312" w:eastAsia="仿宋_GB2312"/>
              <w:sz w:val="24"/>
            </w:rPr>
            <w:fldChar w:fldCharType="end"/>
          </w:r>
        </w:p>
        <w:p>
          <w:pPr>
            <w:pStyle w:val="25"/>
            <w:tabs>
              <w:tab w:val="right" w:leader="dot" w:pos="9628"/>
            </w:tabs>
            <w:rPr>
              <w:rFonts w:ascii="仿宋_GB2312" w:eastAsia="仿宋_GB2312" w:hAnsiTheme="minorHAnsi" w:cstheme="minorBidi"/>
              <w:iCs w:val="0"/>
              <w:sz w:val="24"/>
            </w:rPr>
          </w:pPr>
          <w:r>
            <w:fldChar w:fldCharType="begin"/>
          </w:r>
          <w:r>
            <w:instrText xml:space="preserve"> HYPERLINK \l "_Toc135293166" </w:instrText>
          </w:r>
          <w:r>
            <w:fldChar w:fldCharType="separate"/>
          </w:r>
          <w:r>
            <w:rPr>
              <w:rStyle w:val="57"/>
              <w:rFonts w:hint="eastAsia" w:ascii="仿宋_GB2312" w:eastAsia="仿宋_GB2312"/>
              <w:sz w:val="24"/>
            </w:rPr>
            <w:t>1、资质证书有效期</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_Toc135293166 \h </w:instrText>
          </w:r>
          <w:r>
            <w:rPr>
              <w:rFonts w:hint="eastAsia" w:ascii="仿宋_GB2312" w:eastAsia="仿宋_GB2312"/>
              <w:sz w:val="24"/>
            </w:rPr>
            <w:fldChar w:fldCharType="separate"/>
          </w:r>
          <w:r>
            <w:rPr>
              <w:rFonts w:hint="eastAsia" w:ascii="仿宋_GB2312" w:eastAsia="仿宋_GB2312"/>
              <w:sz w:val="24"/>
            </w:rPr>
            <w:t>20</w:t>
          </w:r>
          <w:r>
            <w:rPr>
              <w:rFonts w:hint="eastAsia" w:ascii="仿宋_GB2312" w:eastAsia="仿宋_GB2312"/>
              <w:sz w:val="24"/>
            </w:rPr>
            <w:fldChar w:fldCharType="end"/>
          </w:r>
          <w:r>
            <w:rPr>
              <w:rFonts w:hint="eastAsia" w:ascii="仿宋_GB2312" w:eastAsia="仿宋_GB2312"/>
              <w:sz w:val="24"/>
            </w:rPr>
            <w:fldChar w:fldCharType="end"/>
          </w:r>
        </w:p>
        <w:p>
          <w:pPr>
            <w:pStyle w:val="25"/>
            <w:tabs>
              <w:tab w:val="right" w:leader="dot" w:pos="9628"/>
            </w:tabs>
            <w:rPr>
              <w:rFonts w:ascii="仿宋_GB2312" w:eastAsia="仿宋_GB2312" w:hAnsiTheme="minorHAnsi" w:cstheme="minorBidi"/>
              <w:iCs w:val="0"/>
              <w:sz w:val="24"/>
            </w:rPr>
          </w:pPr>
          <w:r>
            <w:fldChar w:fldCharType="begin"/>
          </w:r>
          <w:r>
            <w:instrText xml:space="preserve"> HYPERLINK \l "_Toc135293167" </w:instrText>
          </w:r>
          <w:r>
            <w:fldChar w:fldCharType="separate"/>
          </w:r>
          <w:r>
            <w:rPr>
              <w:rStyle w:val="57"/>
              <w:rFonts w:hint="eastAsia" w:ascii="仿宋_GB2312" w:eastAsia="仿宋_GB2312" w:hAnsiTheme="minorEastAsia"/>
              <w:sz w:val="24"/>
            </w:rPr>
            <w:t>2、政府采购扶持政策</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_Toc135293167 \h </w:instrText>
          </w:r>
          <w:r>
            <w:rPr>
              <w:rFonts w:hint="eastAsia" w:ascii="仿宋_GB2312" w:eastAsia="仿宋_GB2312"/>
              <w:sz w:val="24"/>
            </w:rPr>
            <w:fldChar w:fldCharType="separate"/>
          </w:r>
          <w:r>
            <w:rPr>
              <w:rFonts w:hint="eastAsia" w:ascii="仿宋_GB2312" w:eastAsia="仿宋_GB2312"/>
              <w:sz w:val="24"/>
            </w:rPr>
            <w:t>20</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"_Toc135293168" </w:instrText>
          </w:r>
          <w:r>
            <w:fldChar w:fldCharType="separate"/>
          </w:r>
          <w:r>
            <w:rPr>
              <w:rStyle w:val="57"/>
              <w:rFonts w:hint="eastAsia" w:ascii="仿宋_GB2312" w:eastAsia="仿宋_GB2312"/>
              <w:sz w:val="24"/>
            </w:rPr>
            <w:t>第五章  投标人须知前附表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_Toc135293168 \h </w:instrText>
          </w:r>
          <w:r>
            <w:rPr>
              <w:rFonts w:hint="eastAsia" w:ascii="仿宋_GB2312" w:eastAsia="仿宋_GB2312"/>
              <w:sz w:val="24"/>
            </w:rPr>
            <w:fldChar w:fldCharType="separate"/>
          </w:r>
          <w:r>
            <w:rPr>
              <w:rFonts w:hint="eastAsia" w:ascii="仿宋_GB2312" w:eastAsia="仿宋_GB2312"/>
              <w:sz w:val="24"/>
            </w:rPr>
            <w:t>21</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"_Toc135293169" </w:instrText>
          </w:r>
          <w:r>
            <w:fldChar w:fldCharType="separate"/>
          </w:r>
          <w:r>
            <w:rPr>
              <w:rStyle w:val="57"/>
              <w:rFonts w:hint="eastAsia" w:ascii="仿宋_GB2312" w:eastAsia="仿宋_GB2312"/>
              <w:sz w:val="24"/>
            </w:rPr>
            <w:t>第六章  投标人须知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_Toc135293169 \h </w:instrText>
          </w:r>
          <w:r>
            <w:rPr>
              <w:rFonts w:hint="eastAsia" w:ascii="仿宋_GB2312" w:eastAsia="仿宋_GB2312"/>
              <w:sz w:val="24"/>
            </w:rPr>
            <w:fldChar w:fldCharType="separate"/>
          </w:r>
          <w:r>
            <w:rPr>
              <w:rFonts w:hint="eastAsia" w:ascii="仿宋_GB2312" w:eastAsia="仿宋_GB2312"/>
              <w:sz w:val="24"/>
            </w:rPr>
            <w:t>22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"_Toc135293170" </w:instrText>
          </w:r>
          <w:r>
            <w:fldChar w:fldCharType="separate"/>
          </w:r>
          <w:r>
            <w:rPr>
              <w:rStyle w:val="57"/>
              <w:rFonts w:hint="eastAsia" w:ascii="仿宋_GB2312" w:eastAsia="仿宋_GB2312"/>
              <w:sz w:val="24"/>
            </w:rPr>
            <w:t>一、说  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_Toc135293170 \h </w:instrText>
          </w:r>
          <w:r>
            <w:rPr>
              <w:rFonts w:hint="eastAsia" w:ascii="仿宋_GB2312" w:eastAsia="仿宋_GB2312"/>
              <w:sz w:val="24"/>
            </w:rPr>
            <w:fldChar w:fldCharType="separate"/>
          </w:r>
          <w:r>
            <w:rPr>
              <w:rFonts w:hint="eastAsia" w:ascii="仿宋_GB2312" w:eastAsia="仿宋_GB2312"/>
              <w:sz w:val="24"/>
            </w:rPr>
            <w:t>22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"_Toc135293171" </w:instrText>
          </w:r>
          <w:r>
            <w:fldChar w:fldCharType="separate"/>
          </w:r>
          <w:r>
            <w:rPr>
              <w:rStyle w:val="57"/>
              <w:rFonts w:hint="eastAsia" w:ascii="仿宋_GB2312" w:eastAsia="仿宋_GB2312"/>
              <w:sz w:val="24"/>
            </w:rPr>
            <w:t>二、招标文件说明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_Toc135293171 \h </w:instrText>
          </w:r>
          <w:r>
            <w:rPr>
              <w:rFonts w:hint="eastAsia" w:ascii="仿宋_GB2312" w:eastAsia="仿宋_GB2312"/>
              <w:sz w:val="24"/>
            </w:rPr>
            <w:fldChar w:fldCharType="separate"/>
          </w:r>
          <w:r>
            <w:rPr>
              <w:rFonts w:hint="eastAsia" w:ascii="仿宋_GB2312" w:eastAsia="仿宋_GB2312"/>
              <w:sz w:val="24"/>
            </w:rPr>
            <w:t>24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"_Toc135293172" </w:instrText>
          </w:r>
          <w:r>
            <w:fldChar w:fldCharType="separate"/>
          </w:r>
          <w:r>
            <w:rPr>
              <w:rStyle w:val="57"/>
              <w:rFonts w:hint="eastAsia" w:ascii="仿宋_GB2312" w:eastAsia="仿宋_GB2312"/>
              <w:sz w:val="24"/>
            </w:rPr>
            <w:t>三、投标文件的编写</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_Toc135293172 \h </w:instrText>
          </w:r>
          <w:r>
            <w:rPr>
              <w:rFonts w:hint="eastAsia" w:ascii="仿宋_GB2312" w:eastAsia="仿宋_GB2312"/>
              <w:sz w:val="24"/>
            </w:rPr>
            <w:fldChar w:fldCharType="separate"/>
          </w:r>
          <w:r>
            <w:rPr>
              <w:rFonts w:hint="eastAsia" w:ascii="仿宋_GB2312" w:eastAsia="仿宋_GB2312"/>
              <w:sz w:val="24"/>
            </w:rPr>
            <w:t>25</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"_Toc135293173" </w:instrText>
          </w:r>
          <w:r>
            <w:fldChar w:fldCharType="separate"/>
          </w:r>
          <w:r>
            <w:rPr>
              <w:rStyle w:val="57"/>
              <w:rFonts w:hint="eastAsia" w:ascii="仿宋_GB2312" w:eastAsia="仿宋_GB2312"/>
              <w:sz w:val="24"/>
            </w:rPr>
            <w:t>四、投标文件的递交</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_Toc135293173 \h </w:instrText>
          </w:r>
          <w:r>
            <w:rPr>
              <w:rFonts w:hint="eastAsia" w:ascii="仿宋_GB2312" w:eastAsia="仿宋_GB2312"/>
              <w:sz w:val="24"/>
            </w:rPr>
            <w:fldChar w:fldCharType="separate"/>
          </w:r>
          <w:r>
            <w:rPr>
              <w:rFonts w:hint="eastAsia" w:ascii="仿宋_GB2312" w:eastAsia="仿宋_GB2312"/>
              <w:sz w:val="24"/>
            </w:rPr>
            <w:t>27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"_Toc135293174" </w:instrText>
          </w:r>
          <w:r>
            <w:fldChar w:fldCharType="separate"/>
          </w:r>
          <w:r>
            <w:rPr>
              <w:rStyle w:val="57"/>
              <w:rFonts w:hint="eastAsia" w:ascii="仿宋_GB2312" w:eastAsia="仿宋_GB2312"/>
              <w:sz w:val="24"/>
            </w:rPr>
            <w:t>五、开标和评标</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_Toc135293174 \h </w:instrText>
          </w:r>
          <w:r>
            <w:rPr>
              <w:rFonts w:hint="eastAsia" w:ascii="仿宋_GB2312" w:eastAsia="仿宋_GB2312"/>
              <w:sz w:val="24"/>
            </w:rPr>
            <w:fldChar w:fldCharType="separate"/>
          </w:r>
          <w:r>
            <w:rPr>
              <w:rFonts w:hint="eastAsia" w:ascii="仿宋_GB2312" w:eastAsia="仿宋_GB2312"/>
              <w:sz w:val="24"/>
            </w:rPr>
            <w:t>29</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"_Toc135293175" </w:instrText>
          </w:r>
          <w:r>
            <w:fldChar w:fldCharType="separate"/>
          </w:r>
          <w:r>
            <w:rPr>
              <w:rStyle w:val="57"/>
              <w:rFonts w:hint="eastAsia" w:ascii="仿宋_GB2312" w:eastAsia="仿宋_GB2312"/>
              <w:sz w:val="24"/>
            </w:rPr>
            <w:t>六、授予合同</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_Toc135293175 \h </w:instrText>
          </w:r>
          <w:r>
            <w:rPr>
              <w:rFonts w:hint="eastAsia" w:ascii="仿宋_GB2312" w:eastAsia="仿宋_GB2312"/>
              <w:sz w:val="24"/>
            </w:rPr>
            <w:fldChar w:fldCharType="separate"/>
          </w:r>
          <w:r>
            <w:rPr>
              <w:rFonts w:hint="eastAsia" w:ascii="仿宋_GB2312" w:eastAsia="仿宋_GB2312"/>
              <w:sz w:val="24"/>
            </w:rPr>
            <w:t>31</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"_Toc135293176" </w:instrText>
          </w:r>
          <w:r>
            <w:fldChar w:fldCharType="separate"/>
          </w:r>
          <w:r>
            <w:rPr>
              <w:rStyle w:val="57"/>
              <w:rFonts w:hint="eastAsia" w:ascii="仿宋_GB2312" w:eastAsia="仿宋_GB2312"/>
              <w:sz w:val="24"/>
            </w:rPr>
            <w:t>七、质疑处理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_Toc135293176 \h </w:instrText>
          </w:r>
          <w:r>
            <w:rPr>
              <w:rFonts w:hint="eastAsia" w:ascii="仿宋_GB2312" w:eastAsia="仿宋_GB2312"/>
              <w:sz w:val="24"/>
            </w:rPr>
            <w:fldChar w:fldCharType="separate"/>
          </w:r>
          <w:r>
            <w:rPr>
              <w:rFonts w:hint="eastAsia" w:ascii="仿宋_GB2312" w:eastAsia="仿宋_GB2312"/>
              <w:sz w:val="24"/>
            </w:rPr>
            <w:t>32</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"_Toc135293177" </w:instrText>
          </w:r>
          <w:r>
            <w:fldChar w:fldCharType="separate"/>
          </w:r>
          <w:r>
            <w:rPr>
              <w:rStyle w:val="57"/>
              <w:rFonts w:hint="eastAsia" w:ascii="仿宋_GB2312" w:eastAsia="仿宋_GB2312"/>
              <w:sz w:val="24"/>
            </w:rPr>
            <w:t>第七章  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_Toc135293177 \h </w:instrText>
          </w:r>
          <w:r>
            <w:rPr>
              <w:rFonts w:hint="eastAsia" w:ascii="仿宋_GB2312" w:eastAsia="仿宋_GB2312"/>
              <w:sz w:val="24"/>
            </w:rPr>
            <w:fldChar w:fldCharType="separate"/>
          </w:r>
          <w:r>
            <w:rPr>
              <w:rFonts w:hint="eastAsia" w:ascii="仿宋_GB2312" w:eastAsia="仿宋_GB2312"/>
              <w:sz w:val="24"/>
            </w:rPr>
            <w:t>35</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"_Toc135293178" </w:instrText>
          </w:r>
          <w:r>
            <w:fldChar w:fldCharType="separate"/>
          </w:r>
          <w:r>
            <w:rPr>
              <w:rStyle w:val="57"/>
              <w:rFonts w:hint="eastAsia" w:ascii="仿宋_GB2312" w:hAnsi="仿宋" w:eastAsia="仿宋_GB2312"/>
              <w:sz w:val="24"/>
            </w:rPr>
            <w:t>投标文件编制说明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_Toc135293178 \h </w:instrText>
          </w:r>
          <w:r>
            <w:rPr>
              <w:rFonts w:hint="eastAsia" w:ascii="仿宋_GB2312" w:eastAsia="仿宋_GB2312"/>
              <w:sz w:val="24"/>
            </w:rPr>
            <w:fldChar w:fldCharType="separate"/>
          </w:r>
          <w:r>
            <w:rPr>
              <w:rFonts w:hint="eastAsia" w:ascii="仿宋_GB2312" w:eastAsia="仿宋_GB2312"/>
              <w:sz w:val="24"/>
            </w:rPr>
            <w:t>35</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"_Toc135293179" </w:instrText>
          </w:r>
          <w:r>
            <w:fldChar w:fldCharType="separate"/>
          </w:r>
          <w:r>
            <w:rPr>
              <w:rStyle w:val="57"/>
              <w:rFonts w:hint="eastAsia" w:ascii="仿宋_GB2312" w:hAnsi="仿宋" w:eastAsia="仿宋_GB2312"/>
              <w:sz w:val="24"/>
            </w:rPr>
            <w:t>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_Toc135293179 \h </w:instrText>
          </w:r>
          <w:r>
            <w:rPr>
              <w:rFonts w:hint="eastAsia" w:ascii="仿宋_GB2312" w:eastAsia="仿宋_GB2312"/>
              <w:sz w:val="24"/>
            </w:rPr>
            <w:fldChar w:fldCharType="separate"/>
          </w:r>
          <w:r>
            <w:rPr>
              <w:rFonts w:hint="eastAsia" w:ascii="仿宋_GB2312" w:eastAsia="仿宋_GB2312"/>
              <w:sz w:val="24"/>
            </w:rPr>
            <w:t>37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"_Toc135293180" </w:instrText>
          </w:r>
          <w:r>
            <w:fldChar w:fldCharType="separate"/>
          </w:r>
          <w:r>
            <w:rPr>
              <w:rStyle w:val="57"/>
              <w:rFonts w:hint="eastAsia" w:ascii="仿宋_GB2312" w:hAnsi="仿宋" w:eastAsia="仿宋_GB2312"/>
              <w:sz w:val="24"/>
            </w:rPr>
            <w:t>政府采购违法行为风险知悉确认书</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_Toc135293180 \h </w:instrText>
          </w:r>
          <w:r>
            <w:rPr>
              <w:rFonts w:hint="eastAsia" w:ascii="仿宋_GB2312" w:eastAsia="仿宋_GB2312"/>
              <w:sz w:val="24"/>
            </w:rPr>
            <w:fldChar w:fldCharType="separate"/>
          </w:r>
          <w:r>
            <w:rPr>
              <w:rFonts w:hint="eastAsia" w:ascii="仿宋_GB2312" w:eastAsia="仿宋_GB2312"/>
              <w:sz w:val="24"/>
            </w:rPr>
            <w:t>38</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"_Toc135293181" </w:instrText>
          </w:r>
          <w:r>
            <w:fldChar w:fldCharType="separate"/>
          </w:r>
          <w:r>
            <w:rPr>
              <w:rStyle w:val="57"/>
              <w:rFonts w:hint="eastAsia" w:ascii="仿宋_GB2312" w:hAnsi="仿宋" w:eastAsia="仿宋_GB2312"/>
              <w:sz w:val="24"/>
            </w:rPr>
            <w:t>评标指引表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_Toc135293181 \h </w:instrText>
          </w:r>
          <w:r>
            <w:rPr>
              <w:rFonts w:hint="eastAsia" w:ascii="仿宋_GB2312" w:eastAsia="仿宋_GB2312"/>
              <w:sz w:val="24"/>
            </w:rPr>
            <w:fldChar w:fldCharType="separate"/>
          </w:r>
          <w:r>
            <w:rPr>
              <w:rFonts w:hint="eastAsia" w:ascii="仿宋_GB2312" w:eastAsia="仿宋_GB2312"/>
              <w:sz w:val="24"/>
            </w:rPr>
            <w:t>40</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"_Toc135293192" </w:instrText>
          </w:r>
          <w:r>
            <w:fldChar w:fldCharType="separate"/>
          </w:r>
          <w:r>
            <w:rPr>
              <w:rStyle w:val="57"/>
              <w:rFonts w:hint="eastAsia" w:ascii="仿宋_GB2312" w:eastAsia="仿宋_GB2312"/>
              <w:sz w:val="24"/>
            </w:rPr>
            <w:t>第八章  合同条款</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_Toc135293192 \h </w:instrText>
          </w:r>
          <w:r>
            <w:rPr>
              <w:rFonts w:hint="eastAsia" w:ascii="仿宋_GB2312" w:eastAsia="仿宋_GB2312"/>
              <w:sz w:val="24"/>
            </w:rPr>
            <w:fldChar w:fldCharType="separate"/>
          </w:r>
          <w:r>
            <w:rPr>
              <w:rFonts w:hint="eastAsia" w:ascii="仿宋_GB2312" w:eastAsia="仿宋_GB2312"/>
              <w:sz w:val="24"/>
            </w:rPr>
            <w:t>59</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"_Toc135293193" </w:instrText>
          </w:r>
          <w:r>
            <w:fldChar w:fldCharType="separate"/>
          </w:r>
          <w:r>
            <w:rPr>
              <w:rStyle w:val="57"/>
              <w:rFonts w:hint="eastAsia" w:ascii="仿宋_GB2312" w:eastAsia="仿宋_GB2312"/>
              <w:sz w:val="24"/>
            </w:rPr>
            <w:t>第九章  附件</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_Toc135293193 \h </w:instrText>
          </w:r>
          <w:r>
            <w:rPr>
              <w:rFonts w:hint="eastAsia" w:ascii="仿宋_GB2312" w:eastAsia="仿宋_GB2312"/>
              <w:sz w:val="24"/>
            </w:rPr>
            <w:fldChar w:fldCharType="separate"/>
          </w:r>
          <w:r>
            <w:rPr>
              <w:rFonts w:hint="eastAsia" w:ascii="仿宋_GB2312" w:eastAsia="仿宋_GB2312"/>
              <w:sz w:val="24"/>
            </w:rPr>
            <w:t>62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"_Toc135293194" </w:instrText>
          </w:r>
          <w:r>
            <w:fldChar w:fldCharType="separate"/>
          </w:r>
          <w:r>
            <w:rPr>
              <w:rStyle w:val="57"/>
              <w:rFonts w:hint="eastAsia" w:ascii="仿宋_GB2312" w:eastAsia="仿宋_GB2312"/>
              <w:sz w:val="24"/>
            </w:rPr>
            <w:t>一、财政部 工业和信息化部关于印发《政府采购促进中小企业发展管理办法》的通知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_Toc135293194 \h </w:instrText>
          </w:r>
          <w:r>
            <w:rPr>
              <w:rFonts w:hint="eastAsia" w:ascii="仿宋_GB2312" w:eastAsia="仿宋_GB2312"/>
              <w:sz w:val="24"/>
            </w:rPr>
            <w:fldChar w:fldCharType="separate"/>
          </w:r>
          <w:r>
            <w:rPr>
              <w:rFonts w:hint="eastAsia" w:ascii="仿宋_GB2312" w:eastAsia="仿宋_GB2312"/>
              <w:sz w:val="24"/>
            </w:rPr>
            <w:t>62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"_Toc135293195" </w:instrText>
          </w:r>
          <w:r>
            <w:fldChar w:fldCharType="separate"/>
          </w:r>
          <w:r>
            <w:rPr>
              <w:rStyle w:val="57"/>
              <w:rFonts w:hint="eastAsia" w:ascii="仿宋_GB2312" w:eastAsia="仿宋_GB2312"/>
              <w:sz w:val="24"/>
            </w:rPr>
            <w:t>二、关于印发中小企业划型标准规定的通知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_Toc135293195 \h </w:instrText>
          </w:r>
          <w:r>
            <w:rPr>
              <w:rFonts w:hint="eastAsia" w:ascii="仿宋_GB2312" w:eastAsia="仿宋_GB2312"/>
              <w:sz w:val="24"/>
            </w:rPr>
            <w:fldChar w:fldCharType="separate"/>
          </w:r>
          <w:r>
            <w:rPr>
              <w:rFonts w:hint="eastAsia" w:ascii="仿宋_GB2312" w:eastAsia="仿宋_GB2312"/>
              <w:sz w:val="24"/>
            </w:rPr>
            <w:t>66</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"_Toc135293196" </w:instrText>
          </w:r>
          <w:r>
            <w:fldChar w:fldCharType="separate"/>
          </w:r>
          <w:r>
            <w:rPr>
              <w:rStyle w:val="57"/>
              <w:rFonts w:hint="eastAsia" w:ascii="仿宋_GB2312" w:eastAsia="仿宋_GB2312"/>
              <w:sz w:val="24"/>
            </w:rPr>
            <w:t>三、国家统计局关于印发《统计上大中小微型企业划分办法 （2017）》的通知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_Toc135293196 \h </w:instrText>
          </w:r>
          <w:r>
            <w:rPr>
              <w:rFonts w:hint="eastAsia" w:ascii="仿宋_GB2312" w:eastAsia="仿宋_GB2312"/>
              <w:sz w:val="24"/>
            </w:rPr>
            <w:fldChar w:fldCharType="separate"/>
          </w:r>
          <w:r>
            <w:rPr>
              <w:rFonts w:hint="eastAsia" w:ascii="仿宋_GB2312" w:eastAsia="仿宋_GB2312"/>
              <w:sz w:val="24"/>
            </w:rPr>
            <w:t>69</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"_Toc135293197" </w:instrText>
          </w:r>
          <w:r>
            <w:fldChar w:fldCharType="separate"/>
          </w:r>
          <w:r>
            <w:rPr>
              <w:rStyle w:val="57"/>
              <w:rFonts w:hint="eastAsia" w:ascii="仿宋_GB2312" w:eastAsia="仿宋_GB2312"/>
              <w:sz w:val="24"/>
            </w:rPr>
            <w:t>四、财政部 民政部 中国残疾人联合会关于促进残疾人就业 政府采购政策的通知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_Toc135293197 \h </w:instrText>
          </w:r>
          <w:r>
            <w:rPr>
              <w:rFonts w:hint="eastAsia" w:ascii="仿宋_GB2312" w:eastAsia="仿宋_GB2312"/>
              <w:sz w:val="24"/>
            </w:rPr>
            <w:fldChar w:fldCharType="separate"/>
          </w:r>
          <w:r>
            <w:rPr>
              <w:rFonts w:hint="eastAsia" w:ascii="仿宋_GB2312" w:eastAsia="仿宋_GB2312"/>
              <w:sz w:val="24"/>
            </w:rPr>
            <w:t>72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"_Toc135293198" </w:instrText>
          </w:r>
          <w:r>
            <w:fldChar w:fldCharType="separate"/>
          </w:r>
          <w:r>
            <w:rPr>
              <w:rStyle w:val="57"/>
              <w:rFonts w:hint="eastAsia" w:ascii="仿宋_GB2312" w:eastAsia="仿宋_GB2312"/>
              <w:sz w:val="24"/>
            </w:rPr>
            <w:t>五、财政部 司法部关于政府采购支持监狱企业发展有关问题的通知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_Toc135293198 \h </w:instrText>
          </w:r>
          <w:r>
            <w:rPr>
              <w:rFonts w:hint="eastAsia" w:ascii="仿宋_GB2312" w:eastAsia="仿宋_GB2312"/>
              <w:sz w:val="24"/>
            </w:rPr>
            <w:fldChar w:fldCharType="separate"/>
          </w:r>
          <w:r>
            <w:rPr>
              <w:rFonts w:hint="eastAsia" w:ascii="仿宋_GB2312" w:eastAsia="仿宋_GB2312"/>
              <w:sz w:val="24"/>
            </w:rPr>
            <w:t>74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pPr>
          <w:r>
            <w:rPr>
              <w:rFonts w:hint="eastAsia" w:ascii="仿宋_GB2312" w:eastAsia="仿宋_GB2312"/>
              <w:sz w:val="24"/>
            </w:rPr>
            <w:fldChar w:fldCharType="end"/>
          </w:r>
        </w:p>
      </w:sdtContent>
    </w:sdt>
    <w:p/>
    <w:p/>
    <w:p/>
    <w:p/>
    <w:p>
      <w:pPr>
        <w:pStyle w:val="2"/>
        <w:keepNext w:val="0"/>
        <w:keepLines w:val="0"/>
        <w:pageBreakBefore w:val="0"/>
        <w:widowControl w:val="0"/>
        <w:kinsoku/>
        <w:wordWrap/>
        <w:overflowPunct/>
        <w:topLinePunct w:val="0"/>
        <w:autoSpaceDE/>
        <w:autoSpaceDN/>
        <w:bidi w:val="0"/>
        <w:textAlignment w:val="auto"/>
      </w:pPr>
      <w:bookmarkStart w:id="0" w:name="_Toc135293159"/>
      <w:r>
        <w:rPr>
          <w:rFonts w:hint="eastAsia"/>
        </w:rPr>
        <w:t>第一章  投标邀请</w:t>
      </w:r>
      <w:bookmarkEnd w:id="0"/>
    </w:p>
    <w:p>
      <w:pPr>
        <w:keepNext w:val="0"/>
        <w:keepLines w:val="0"/>
        <w:pageBreakBefore w:val="0"/>
        <w:widowControl w:val="0"/>
        <w:pBdr>
          <w:top w:val="single" w:color="auto" w:sz="4" w:space="1"/>
          <w:left w:val="single" w:color="auto" w:sz="4" w:space="0"/>
          <w:bottom w:val="single" w:color="auto" w:sz="4" w:space="1"/>
          <w:right w:val="single" w:color="auto" w:sz="4" w:space="4"/>
        </w:pBdr>
        <w:kinsoku/>
        <w:wordWrap/>
        <w:overflowPunct/>
        <w:topLinePunct w:val="0"/>
        <w:autoSpaceDE/>
        <w:autoSpaceDN/>
        <w:bidi w:val="0"/>
        <w:spacing w:line="360" w:lineRule="auto"/>
        <w:ind w:firstLine="420" w:firstLineChars="200"/>
        <w:textAlignment w:val="auto"/>
        <w:rPr>
          <w:rFonts w:ascii="宋体" w:hAnsi="宋体" w:cs="Arial Unicode MS"/>
          <w:snapToGrid w:val="0"/>
          <w:kern w:val="0"/>
          <w:szCs w:val="21"/>
        </w:rPr>
      </w:pPr>
      <w:r>
        <w:rPr>
          <w:rFonts w:hint="eastAsia" w:ascii="宋体" w:hAnsi="宋体" w:cs="Arial Unicode MS"/>
          <w:snapToGrid w:val="0"/>
          <w:kern w:val="0"/>
          <w:szCs w:val="21"/>
        </w:rPr>
        <w:t>项目概况</w:t>
      </w:r>
    </w:p>
    <w:p>
      <w:pPr>
        <w:keepNext w:val="0"/>
        <w:keepLines w:val="0"/>
        <w:pageBreakBefore w:val="0"/>
        <w:widowControl w:val="0"/>
        <w:pBdr>
          <w:top w:val="single" w:color="auto" w:sz="4" w:space="1"/>
          <w:left w:val="single" w:color="auto" w:sz="4" w:space="0"/>
          <w:bottom w:val="single" w:color="auto" w:sz="4" w:space="1"/>
          <w:right w:val="single" w:color="auto" w:sz="4" w:space="4"/>
        </w:pBdr>
        <w:kinsoku/>
        <w:wordWrap/>
        <w:overflowPunct/>
        <w:topLinePunct w:val="0"/>
        <w:autoSpaceDE/>
        <w:autoSpaceDN/>
        <w:bidi w:val="0"/>
        <w:spacing w:line="360" w:lineRule="auto"/>
        <w:ind w:firstLine="420" w:firstLineChars="200"/>
        <w:textAlignment w:val="auto"/>
        <w:rPr>
          <w:rFonts w:ascii="宋体" w:hAnsi="宋体" w:cs="Arial Unicode MS"/>
          <w:snapToGrid w:val="0"/>
          <w:kern w:val="0"/>
          <w:szCs w:val="21"/>
        </w:rPr>
      </w:pPr>
      <w:r>
        <w:rPr>
          <w:rFonts w:hint="eastAsia" w:ascii="宋体" w:hAnsi="宋体"/>
          <w:snapToGrid w:val="0"/>
          <w:szCs w:val="21"/>
          <w:u w:val="single"/>
          <w:lang w:eastAsia="zh-CN"/>
        </w:rPr>
        <w:t>狂犬病免疫效价监测委托业务</w:t>
      </w:r>
      <w:r>
        <w:rPr>
          <w:rFonts w:hint="eastAsia" w:ascii="宋体" w:hAnsi="宋体"/>
          <w:snapToGrid w:val="0"/>
          <w:szCs w:val="21"/>
          <w:u w:val="none"/>
          <w:lang w:val="en-US" w:eastAsia="zh-CN"/>
        </w:rPr>
        <w:t>招标项目</w:t>
      </w:r>
      <w:r>
        <w:rPr>
          <w:rFonts w:hint="eastAsia" w:ascii="宋体" w:hAnsi="宋体" w:cs="Arial Unicode MS"/>
          <w:snapToGrid w:val="0"/>
          <w:kern w:val="0"/>
          <w:szCs w:val="21"/>
        </w:rPr>
        <w:t>的潜在投标人应在</w:t>
      </w:r>
      <w:r>
        <w:rPr>
          <w:rFonts w:hint="eastAsia" w:ascii="宋体" w:hAnsi="宋体"/>
          <w:snapToGrid w:val="0"/>
          <w:szCs w:val="21"/>
          <w:u w:val="single"/>
        </w:rPr>
        <w:t>深圳市福田区民田路171号新华保险大厦903</w:t>
      </w:r>
      <w:r>
        <w:rPr>
          <w:rFonts w:hint="eastAsia" w:ascii="宋体" w:hAnsi="宋体" w:cs="Arial Unicode MS"/>
          <w:snapToGrid w:val="0"/>
          <w:kern w:val="0"/>
          <w:szCs w:val="21"/>
        </w:rPr>
        <w:t>获取招标文件，并于</w:t>
      </w:r>
      <w:r>
        <w:rPr>
          <w:rFonts w:hint="eastAsia" w:ascii="宋体" w:hAnsi="宋体" w:cs="Arial Unicode MS"/>
          <w:snapToGrid w:val="0"/>
          <w:kern w:val="0"/>
          <w:szCs w:val="21"/>
          <w:u w:val="single"/>
        </w:rPr>
        <w:t>2024年</w:t>
      </w:r>
      <w:r>
        <w:rPr>
          <w:rFonts w:hint="eastAsia" w:ascii="宋体" w:hAnsi="宋体" w:cs="Arial Unicode MS"/>
          <w:snapToGrid w:val="0"/>
          <w:kern w:val="0"/>
          <w:szCs w:val="21"/>
          <w:u w:val="single"/>
          <w:lang w:val="en-US" w:eastAsia="zh-CN"/>
        </w:rPr>
        <w:t>04</w:t>
      </w:r>
      <w:r>
        <w:rPr>
          <w:rFonts w:hint="eastAsia" w:ascii="宋体" w:hAnsi="宋体" w:cs="Arial Unicode MS"/>
          <w:snapToGrid w:val="0"/>
          <w:kern w:val="0"/>
          <w:szCs w:val="21"/>
          <w:u w:val="single"/>
        </w:rPr>
        <w:t>月</w:t>
      </w:r>
      <w:r>
        <w:rPr>
          <w:rFonts w:hint="eastAsia" w:ascii="宋体" w:hAnsi="宋体" w:cs="Arial Unicode MS"/>
          <w:snapToGrid w:val="0"/>
          <w:kern w:val="0"/>
          <w:szCs w:val="21"/>
          <w:u w:val="single"/>
          <w:lang w:val="en-US" w:eastAsia="zh-CN"/>
        </w:rPr>
        <w:t>22</w:t>
      </w:r>
      <w:r>
        <w:rPr>
          <w:rFonts w:hint="eastAsia" w:ascii="宋体" w:hAnsi="宋体" w:cs="Arial Unicode MS"/>
          <w:snapToGrid w:val="0"/>
          <w:kern w:val="0"/>
          <w:szCs w:val="21"/>
          <w:u w:val="single"/>
        </w:rPr>
        <w:t>日</w:t>
      </w:r>
      <w:r>
        <w:rPr>
          <w:rFonts w:hint="eastAsia" w:ascii="宋体" w:hAnsi="宋体" w:cs="Arial Unicode MS"/>
          <w:snapToGrid w:val="0"/>
          <w:kern w:val="0"/>
          <w:szCs w:val="21"/>
          <w:u w:val="single"/>
          <w:lang w:val="en-US" w:eastAsia="zh-CN"/>
        </w:rPr>
        <w:t>10</w:t>
      </w:r>
      <w:r>
        <w:rPr>
          <w:rFonts w:hint="eastAsia" w:ascii="宋体" w:hAnsi="宋体" w:cs="Arial Unicode MS"/>
          <w:snapToGrid w:val="0"/>
          <w:kern w:val="0"/>
          <w:szCs w:val="21"/>
          <w:u w:val="single"/>
        </w:rPr>
        <w:t>点</w:t>
      </w:r>
      <w:r>
        <w:rPr>
          <w:rFonts w:hint="eastAsia" w:ascii="宋体" w:hAnsi="宋体" w:cs="Arial Unicode MS"/>
          <w:snapToGrid w:val="0"/>
          <w:kern w:val="0"/>
          <w:szCs w:val="21"/>
          <w:u w:val="single"/>
          <w:lang w:val="en-US" w:eastAsia="zh-CN"/>
        </w:rPr>
        <w:t>0</w:t>
      </w:r>
      <w:r>
        <w:rPr>
          <w:rFonts w:hint="eastAsia" w:ascii="宋体" w:hAnsi="宋体" w:cs="Arial Unicode MS"/>
          <w:snapToGrid w:val="0"/>
          <w:kern w:val="0"/>
          <w:szCs w:val="21"/>
          <w:u w:val="single"/>
        </w:rPr>
        <w:t>0分</w:t>
      </w:r>
      <w:r>
        <w:rPr>
          <w:rFonts w:hint="eastAsia" w:ascii="宋体" w:hAnsi="宋体" w:cs="Arial Unicode MS"/>
          <w:snapToGrid w:val="0"/>
          <w:kern w:val="0"/>
          <w:szCs w:val="21"/>
        </w:rPr>
        <w:t>（北京时间）前递交投标</w:t>
      </w:r>
      <w:r>
        <w:rPr>
          <w:rFonts w:ascii="宋体" w:hAnsi="宋体" w:cs="Arial Unicode MS"/>
          <w:snapToGrid w:val="0"/>
          <w:kern w:val="0"/>
          <w:szCs w:val="21"/>
        </w:rPr>
        <w:t>文件</w:t>
      </w:r>
      <w:r>
        <w:rPr>
          <w:rFonts w:hint="eastAsia" w:ascii="宋体" w:hAnsi="宋体" w:cs="Arial Unicode MS"/>
          <w:snapToGrid w:val="0"/>
          <w:kern w:val="0"/>
          <w:szCs w:val="21"/>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jc w:val="left"/>
        <w:textAlignment w:val="auto"/>
        <w:rPr>
          <w:rFonts w:ascii="宋体" w:hAnsi="宋体" w:cs="Arial Unicode MS"/>
          <w:snapToGrid w:val="0"/>
          <w:kern w:val="0"/>
          <w:szCs w:val="21"/>
        </w:rPr>
      </w:pP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60" w:leftChars="1" w:hanging="358" w:hangingChars="170"/>
        <w:textAlignment w:val="auto"/>
        <w:rPr>
          <w:rFonts w:ascii="宋体" w:hAnsi="宋体" w:eastAsia="宋体"/>
          <w:b/>
          <w:snapToGrid w:val="0"/>
          <w:color w:val="auto"/>
          <w:sz w:val="21"/>
          <w:szCs w:val="21"/>
        </w:rPr>
      </w:pPr>
      <w:bookmarkStart w:id="110" w:name="_GoBack"/>
      <w:r>
        <w:rPr>
          <w:rFonts w:hint="eastAsia" w:ascii="宋体" w:hAnsi="宋体" w:eastAsia="宋体"/>
          <w:b/>
          <w:snapToGrid w:val="0"/>
          <w:color w:val="auto"/>
          <w:sz w:val="21"/>
          <w:szCs w:val="21"/>
        </w:rPr>
        <w:t>一、项目基本情况</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59" w:leftChars="171" w:firstLine="65" w:firstLineChars="31"/>
        <w:textAlignment w:val="auto"/>
        <w:rPr>
          <w:rFonts w:hint="eastAsia" w:ascii="宋体" w:hAnsi="宋体" w:eastAsia="宋体"/>
          <w:b/>
          <w:snapToGrid w:val="0"/>
          <w:color w:val="auto"/>
          <w:sz w:val="21"/>
          <w:szCs w:val="21"/>
          <w:lang w:eastAsia="zh-CN"/>
        </w:rPr>
      </w:pPr>
      <w:r>
        <w:rPr>
          <w:rFonts w:hint="eastAsia" w:ascii="宋体" w:hAnsi="宋体" w:eastAsia="宋体"/>
          <w:snapToGrid w:val="0"/>
          <w:color w:val="auto"/>
          <w:sz w:val="21"/>
          <w:szCs w:val="21"/>
        </w:rPr>
        <w:t>1、项目编号：</w:t>
      </w:r>
      <w:r>
        <w:rPr>
          <w:rFonts w:hint="eastAsia" w:ascii="宋体" w:hAnsi="宋体" w:eastAsia="宋体"/>
          <w:snapToGrid w:val="0"/>
          <w:color w:val="auto"/>
          <w:sz w:val="21"/>
          <w:lang w:eastAsia="zh-CN"/>
        </w:rPr>
        <w:t>SZZZ2024-QC0166</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59" w:leftChars="171" w:firstLine="65" w:firstLineChars="31"/>
        <w:textAlignment w:val="auto"/>
        <w:rPr>
          <w:rFonts w:hint="eastAsia" w:ascii="宋体" w:hAnsi="宋体" w:eastAsia="宋体"/>
          <w:b/>
          <w:snapToGrid w:val="0"/>
          <w:color w:val="auto"/>
          <w:sz w:val="21"/>
          <w:szCs w:val="21"/>
          <w:lang w:eastAsia="zh-CN"/>
        </w:rPr>
      </w:pPr>
      <w:r>
        <w:rPr>
          <w:rFonts w:hint="eastAsia" w:ascii="宋体" w:hAnsi="宋体" w:eastAsia="宋体"/>
          <w:snapToGrid w:val="0"/>
          <w:color w:val="auto"/>
          <w:sz w:val="21"/>
          <w:szCs w:val="21"/>
        </w:rPr>
        <w:t>2、项目名称：</w:t>
      </w:r>
      <w:r>
        <w:rPr>
          <w:rFonts w:hint="eastAsia" w:ascii="宋体" w:hAnsi="宋体" w:eastAsia="宋体"/>
          <w:snapToGrid w:val="0"/>
          <w:color w:val="auto"/>
          <w:sz w:val="21"/>
          <w:szCs w:val="21"/>
          <w:lang w:eastAsia="zh-CN"/>
        </w:rPr>
        <w:t>狂犬病免疫效价监测委托业务</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59" w:leftChars="171" w:firstLine="65" w:firstLineChars="31"/>
        <w:textAlignment w:val="auto"/>
        <w:rPr>
          <w:rFonts w:ascii="宋体" w:hAnsi="宋体" w:eastAsia="宋体"/>
          <w:b/>
          <w:snapToGrid w:val="0"/>
          <w:color w:val="auto"/>
          <w:sz w:val="21"/>
          <w:szCs w:val="21"/>
        </w:rPr>
      </w:pPr>
      <w:r>
        <w:rPr>
          <w:rFonts w:hint="eastAsia" w:ascii="宋体" w:hAnsi="宋体" w:eastAsia="宋体"/>
          <w:snapToGrid w:val="0"/>
          <w:color w:val="auto"/>
          <w:sz w:val="21"/>
          <w:szCs w:val="21"/>
        </w:rPr>
        <w:t>3、采购方式：公开招标</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59" w:leftChars="171" w:firstLine="65" w:firstLineChars="31"/>
        <w:textAlignment w:val="auto"/>
        <w:rPr>
          <w:rFonts w:ascii="宋体" w:hAnsi="宋体" w:eastAsia="宋体"/>
          <w:b/>
          <w:snapToGrid w:val="0"/>
          <w:color w:val="auto"/>
          <w:sz w:val="21"/>
          <w:szCs w:val="21"/>
        </w:rPr>
      </w:pPr>
      <w:r>
        <w:rPr>
          <w:rFonts w:hint="eastAsia" w:ascii="宋体" w:hAnsi="宋体" w:eastAsia="宋体"/>
          <w:snapToGrid w:val="0"/>
          <w:color w:val="auto"/>
          <w:sz w:val="21"/>
          <w:szCs w:val="21"/>
        </w:rPr>
        <w:t>4、预算金额：人民币</w:t>
      </w:r>
      <w:r>
        <w:rPr>
          <w:rFonts w:hint="eastAsia" w:ascii="宋体" w:hAnsi="宋体" w:eastAsia="宋体"/>
          <w:snapToGrid w:val="0"/>
          <w:color w:val="auto"/>
          <w:sz w:val="21"/>
          <w:szCs w:val="21"/>
          <w:u w:val="single"/>
        </w:rPr>
        <w:t xml:space="preserve"> </w:t>
      </w:r>
      <w:r>
        <w:rPr>
          <w:rFonts w:hint="eastAsia" w:ascii="宋体" w:hAnsi="宋体" w:eastAsia="宋体"/>
          <w:snapToGrid w:val="0"/>
          <w:color w:val="auto"/>
          <w:sz w:val="21"/>
          <w:szCs w:val="21"/>
          <w:u w:val="single"/>
          <w:lang w:val="en-US" w:eastAsia="zh-CN"/>
        </w:rPr>
        <w:t>30</w:t>
      </w:r>
      <w:r>
        <w:rPr>
          <w:rFonts w:hint="eastAsia" w:ascii="宋体" w:hAnsi="宋体" w:eastAsia="宋体"/>
          <w:snapToGrid w:val="0"/>
          <w:color w:val="auto"/>
          <w:sz w:val="21"/>
          <w:szCs w:val="21"/>
          <w:u w:val="single"/>
        </w:rPr>
        <w:t xml:space="preserve"> </w:t>
      </w:r>
      <w:r>
        <w:rPr>
          <w:rFonts w:hint="eastAsia" w:ascii="宋体" w:hAnsi="宋体" w:eastAsia="宋体"/>
          <w:snapToGrid w:val="0"/>
          <w:color w:val="auto"/>
          <w:sz w:val="21"/>
          <w:szCs w:val="21"/>
        </w:rPr>
        <w:t>万元</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59" w:leftChars="171" w:firstLine="65" w:firstLineChars="31"/>
        <w:textAlignment w:val="auto"/>
        <w:rPr>
          <w:rFonts w:ascii="宋体" w:hAnsi="宋体" w:eastAsia="宋体"/>
          <w:b/>
          <w:snapToGrid w:val="0"/>
          <w:color w:val="auto"/>
          <w:sz w:val="21"/>
          <w:szCs w:val="21"/>
        </w:rPr>
      </w:pPr>
      <w:r>
        <w:rPr>
          <w:rFonts w:hint="eastAsia" w:ascii="宋体" w:hAnsi="宋体" w:eastAsia="宋体"/>
          <w:snapToGrid w:val="0"/>
          <w:color w:val="auto"/>
          <w:sz w:val="21"/>
          <w:szCs w:val="21"/>
        </w:rPr>
        <w:t>5、最高限价：人民币</w:t>
      </w:r>
      <w:r>
        <w:rPr>
          <w:rFonts w:hint="eastAsia" w:ascii="宋体" w:hAnsi="宋体" w:eastAsia="宋体"/>
          <w:snapToGrid w:val="0"/>
          <w:color w:val="auto"/>
          <w:sz w:val="21"/>
          <w:szCs w:val="21"/>
          <w:u w:val="single"/>
        </w:rPr>
        <w:t xml:space="preserve"> </w:t>
      </w:r>
      <w:r>
        <w:rPr>
          <w:rFonts w:hint="eastAsia" w:ascii="宋体" w:hAnsi="宋体" w:eastAsia="宋体"/>
          <w:snapToGrid w:val="0"/>
          <w:color w:val="auto"/>
          <w:sz w:val="21"/>
          <w:szCs w:val="21"/>
          <w:u w:val="single"/>
          <w:lang w:val="en-US" w:eastAsia="zh-CN"/>
        </w:rPr>
        <w:t>30</w:t>
      </w:r>
      <w:r>
        <w:rPr>
          <w:rFonts w:hint="eastAsia" w:ascii="宋体" w:hAnsi="宋体" w:eastAsia="宋体"/>
          <w:snapToGrid w:val="0"/>
          <w:color w:val="auto"/>
          <w:sz w:val="21"/>
          <w:szCs w:val="21"/>
          <w:u w:val="single"/>
        </w:rPr>
        <w:t xml:space="preserve"> </w:t>
      </w:r>
      <w:r>
        <w:rPr>
          <w:rFonts w:hint="eastAsia" w:ascii="宋体" w:hAnsi="宋体" w:eastAsia="宋体"/>
          <w:snapToGrid w:val="0"/>
          <w:color w:val="auto"/>
          <w:sz w:val="21"/>
          <w:szCs w:val="21"/>
        </w:rPr>
        <w:t>万元</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59" w:leftChars="171" w:firstLine="65" w:firstLineChars="31"/>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6、采购需求：</w:t>
      </w:r>
    </w:p>
    <w:tbl>
      <w:tblPr>
        <w:tblStyle w:val="50"/>
        <w:tblW w:w="9781"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60" w:type="dxa"/>
          <w:left w:w="60" w:type="dxa"/>
          <w:bottom w:w="60" w:type="dxa"/>
          <w:right w:w="60" w:type="dxa"/>
        </w:tblCellMar>
      </w:tblPr>
      <w:tblGrid>
        <w:gridCol w:w="682"/>
        <w:gridCol w:w="3287"/>
        <w:gridCol w:w="921"/>
        <w:gridCol w:w="922"/>
        <w:gridCol w:w="2693"/>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682" w:type="dxa"/>
            <w:shd w:val="clear" w:color="auto" w:fill="ABCDEF"/>
            <w:vAlign w:val="center"/>
          </w:tcPr>
          <w:p>
            <w:pPr>
              <w:pStyle w:val="45"/>
              <w:keepNext w:val="0"/>
              <w:keepLines w:val="0"/>
              <w:pageBreakBefore w:val="0"/>
              <w:widowControl w:val="0"/>
              <w:kinsoku/>
              <w:wordWrap/>
              <w:overflowPunct/>
              <w:topLinePunct w:val="0"/>
              <w:autoSpaceDE/>
              <w:autoSpaceDN/>
              <w:bidi w:val="0"/>
              <w:spacing w:before="0" w:beforeAutospacing="0" w:after="0" w:afterAutospacing="0" w:line="360" w:lineRule="auto"/>
              <w:jc w:val="center"/>
              <w:textAlignment w:val="auto"/>
              <w:rPr>
                <w:sz w:val="21"/>
              </w:rPr>
            </w:pPr>
            <w:r>
              <w:rPr>
                <w:rFonts w:hint="eastAsia"/>
                <w:sz w:val="21"/>
              </w:rPr>
              <w:t>序号</w:t>
            </w:r>
          </w:p>
        </w:tc>
        <w:tc>
          <w:tcPr>
            <w:tcW w:w="3287" w:type="dxa"/>
            <w:shd w:val="clear" w:color="auto" w:fill="ABCDEF"/>
            <w:vAlign w:val="center"/>
          </w:tcPr>
          <w:p>
            <w:pPr>
              <w:pStyle w:val="45"/>
              <w:keepNext w:val="0"/>
              <w:keepLines w:val="0"/>
              <w:pageBreakBefore w:val="0"/>
              <w:widowControl w:val="0"/>
              <w:kinsoku/>
              <w:wordWrap/>
              <w:overflowPunct/>
              <w:topLinePunct w:val="0"/>
              <w:autoSpaceDE/>
              <w:autoSpaceDN/>
              <w:bidi w:val="0"/>
              <w:spacing w:line="360" w:lineRule="auto"/>
              <w:jc w:val="center"/>
              <w:textAlignment w:val="auto"/>
              <w:rPr>
                <w:sz w:val="21"/>
              </w:rPr>
            </w:pPr>
            <w:r>
              <w:rPr>
                <w:sz w:val="21"/>
              </w:rPr>
              <w:t>标的名称</w:t>
            </w:r>
          </w:p>
        </w:tc>
        <w:tc>
          <w:tcPr>
            <w:tcW w:w="921" w:type="dxa"/>
            <w:shd w:val="clear" w:color="auto" w:fill="ABCDEF"/>
            <w:vAlign w:val="center"/>
          </w:tcPr>
          <w:p>
            <w:pPr>
              <w:pStyle w:val="45"/>
              <w:keepNext w:val="0"/>
              <w:keepLines w:val="0"/>
              <w:pageBreakBefore w:val="0"/>
              <w:widowControl w:val="0"/>
              <w:kinsoku/>
              <w:wordWrap/>
              <w:overflowPunct/>
              <w:topLinePunct w:val="0"/>
              <w:autoSpaceDE/>
              <w:autoSpaceDN/>
              <w:bidi w:val="0"/>
              <w:spacing w:before="0" w:beforeAutospacing="0" w:after="0" w:afterAutospacing="0" w:line="360" w:lineRule="auto"/>
              <w:jc w:val="center"/>
              <w:textAlignment w:val="auto"/>
              <w:rPr>
                <w:sz w:val="21"/>
              </w:rPr>
            </w:pPr>
            <w:r>
              <w:rPr>
                <w:sz w:val="21"/>
              </w:rPr>
              <w:t>数量</w:t>
            </w:r>
          </w:p>
        </w:tc>
        <w:tc>
          <w:tcPr>
            <w:tcW w:w="922" w:type="dxa"/>
            <w:shd w:val="clear" w:color="auto" w:fill="ABCDEF"/>
            <w:vAlign w:val="center"/>
          </w:tcPr>
          <w:p>
            <w:pPr>
              <w:pStyle w:val="45"/>
              <w:keepNext w:val="0"/>
              <w:keepLines w:val="0"/>
              <w:pageBreakBefore w:val="0"/>
              <w:widowControl w:val="0"/>
              <w:kinsoku/>
              <w:wordWrap/>
              <w:overflowPunct/>
              <w:topLinePunct w:val="0"/>
              <w:autoSpaceDE/>
              <w:autoSpaceDN/>
              <w:bidi w:val="0"/>
              <w:spacing w:before="0" w:beforeAutospacing="0" w:after="0" w:afterAutospacing="0" w:line="360" w:lineRule="auto"/>
              <w:jc w:val="center"/>
              <w:textAlignment w:val="auto"/>
              <w:rPr>
                <w:sz w:val="21"/>
              </w:rPr>
            </w:pPr>
            <w:r>
              <w:rPr>
                <w:sz w:val="21"/>
              </w:rPr>
              <w:t>单位</w:t>
            </w:r>
          </w:p>
        </w:tc>
        <w:tc>
          <w:tcPr>
            <w:tcW w:w="2693" w:type="dxa"/>
            <w:shd w:val="clear" w:color="auto" w:fill="ABCDEF"/>
            <w:vAlign w:val="center"/>
          </w:tcPr>
          <w:p>
            <w:pPr>
              <w:pStyle w:val="45"/>
              <w:keepNext w:val="0"/>
              <w:keepLines w:val="0"/>
              <w:pageBreakBefore w:val="0"/>
              <w:widowControl w:val="0"/>
              <w:kinsoku/>
              <w:wordWrap/>
              <w:overflowPunct/>
              <w:topLinePunct w:val="0"/>
              <w:autoSpaceDE/>
              <w:autoSpaceDN/>
              <w:bidi w:val="0"/>
              <w:spacing w:before="0" w:beforeAutospacing="0" w:after="0" w:afterAutospacing="0" w:line="360" w:lineRule="auto"/>
              <w:jc w:val="center"/>
              <w:textAlignment w:val="auto"/>
              <w:rPr>
                <w:sz w:val="21"/>
              </w:rPr>
            </w:pPr>
            <w:r>
              <w:rPr>
                <w:rFonts w:hint="eastAsia"/>
                <w:sz w:val="21"/>
              </w:rPr>
              <w:t>简要技术需求或服务要求</w:t>
            </w:r>
          </w:p>
        </w:tc>
        <w:tc>
          <w:tcPr>
            <w:tcW w:w="1276" w:type="dxa"/>
            <w:shd w:val="clear" w:color="auto" w:fill="ABCDEF"/>
            <w:vAlign w:val="center"/>
          </w:tcPr>
          <w:p>
            <w:pPr>
              <w:pStyle w:val="45"/>
              <w:keepNext w:val="0"/>
              <w:keepLines w:val="0"/>
              <w:pageBreakBefore w:val="0"/>
              <w:widowControl w:val="0"/>
              <w:kinsoku/>
              <w:wordWrap/>
              <w:overflowPunct/>
              <w:topLinePunct w:val="0"/>
              <w:autoSpaceDE/>
              <w:autoSpaceDN/>
              <w:bidi w:val="0"/>
              <w:spacing w:before="0" w:beforeAutospacing="0" w:after="0" w:afterAutospacing="0" w:line="360" w:lineRule="auto"/>
              <w:jc w:val="center"/>
              <w:textAlignment w:val="auto"/>
              <w:rPr>
                <w:sz w:val="21"/>
              </w:rPr>
            </w:pPr>
            <w:r>
              <w:rPr>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90" w:hRule="atLeast"/>
        </w:trPr>
        <w:tc>
          <w:tcPr>
            <w:tcW w:w="682" w:type="dxa"/>
            <w:shd w:val="clear" w:color="auto" w:fill="auto"/>
            <w:vAlign w:val="center"/>
          </w:tcPr>
          <w:p>
            <w:pPr>
              <w:pStyle w:val="45"/>
              <w:keepNext w:val="0"/>
              <w:keepLines w:val="0"/>
              <w:pageBreakBefore w:val="0"/>
              <w:widowControl w:val="0"/>
              <w:kinsoku/>
              <w:wordWrap/>
              <w:overflowPunct/>
              <w:topLinePunct w:val="0"/>
              <w:autoSpaceDE/>
              <w:autoSpaceDN/>
              <w:bidi w:val="0"/>
              <w:spacing w:before="0" w:beforeAutospacing="0" w:after="0" w:afterAutospacing="0" w:line="360" w:lineRule="auto"/>
              <w:jc w:val="center"/>
              <w:textAlignment w:val="auto"/>
              <w:rPr>
                <w:rFonts w:asciiTheme="minorEastAsia" w:hAnsiTheme="minorEastAsia" w:eastAsiaTheme="minorEastAsia"/>
                <w:sz w:val="21"/>
              </w:rPr>
            </w:pPr>
            <w:r>
              <w:rPr>
                <w:rFonts w:hint="eastAsia" w:asciiTheme="minorEastAsia" w:hAnsiTheme="minorEastAsia" w:eastAsiaTheme="minorEastAsia"/>
                <w:sz w:val="21"/>
              </w:rPr>
              <w:t>1</w:t>
            </w:r>
          </w:p>
        </w:tc>
        <w:tc>
          <w:tcPr>
            <w:tcW w:w="3287" w:type="dxa"/>
            <w:shd w:val="clear" w:color="auto" w:fill="auto"/>
            <w:vAlign w:val="center"/>
          </w:tcPr>
          <w:p>
            <w:pPr>
              <w:pStyle w:val="45"/>
              <w:keepNext w:val="0"/>
              <w:keepLines w:val="0"/>
              <w:pageBreakBefore w:val="0"/>
              <w:widowControl w:val="0"/>
              <w:kinsoku/>
              <w:wordWrap/>
              <w:overflowPunct/>
              <w:topLinePunct w:val="0"/>
              <w:autoSpaceDE/>
              <w:autoSpaceDN/>
              <w:bidi w:val="0"/>
              <w:spacing w:line="360" w:lineRule="auto"/>
              <w:jc w:val="center"/>
              <w:textAlignment w:val="auto"/>
              <w:rPr>
                <w:rFonts w:hint="eastAsia" w:asciiTheme="minorEastAsia" w:hAnsiTheme="minorEastAsia" w:eastAsiaTheme="minorEastAsia"/>
                <w:sz w:val="21"/>
                <w:lang w:eastAsia="zh-CN"/>
              </w:rPr>
            </w:pPr>
            <w:r>
              <w:rPr>
                <w:rFonts w:hint="eastAsia" w:ascii="宋体" w:hAnsi="宋体" w:eastAsiaTheme="minorEastAsia"/>
                <w:snapToGrid w:val="0"/>
                <w:sz w:val="21"/>
                <w:szCs w:val="21"/>
                <w:lang w:eastAsia="zh-CN"/>
              </w:rPr>
              <w:t>狂犬病免疫效价监测委托业务</w:t>
            </w:r>
          </w:p>
        </w:tc>
        <w:tc>
          <w:tcPr>
            <w:tcW w:w="921" w:type="dxa"/>
            <w:shd w:val="clear" w:color="auto" w:fill="auto"/>
            <w:vAlign w:val="center"/>
          </w:tcPr>
          <w:p>
            <w:pPr>
              <w:pStyle w:val="45"/>
              <w:keepNext w:val="0"/>
              <w:keepLines w:val="0"/>
              <w:pageBreakBefore w:val="0"/>
              <w:widowControl w:val="0"/>
              <w:kinsoku/>
              <w:wordWrap/>
              <w:overflowPunct/>
              <w:topLinePunct w:val="0"/>
              <w:autoSpaceDE/>
              <w:autoSpaceDN/>
              <w:bidi w:val="0"/>
              <w:spacing w:before="0" w:beforeAutospacing="0" w:after="0" w:afterAutospacing="0" w:line="360" w:lineRule="auto"/>
              <w:jc w:val="center"/>
              <w:textAlignment w:val="auto"/>
              <w:rPr>
                <w:rFonts w:asciiTheme="minorEastAsia" w:hAnsiTheme="minorEastAsia" w:eastAsiaTheme="minorEastAsia"/>
                <w:sz w:val="21"/>
              </w:rPr>
            </w:pPr>
            <w:r>
              <w:rPr>
                <w:rFonts w:hint="eastAsia" w:asciiTheme="minorEastAsia" w:hAnsiTheme="minorEastAsia" w:eastAsiaTheme="minorEastAsia"/>
                <w:sz w:val="21"/>
              </w:rPr>
              <w:t>1</w:t>
            </w:r>
          </w:p>
        </w:tc>
        <w:tc>
          <w:tcPr>
            <w:tcW w:w="922" w:type="dxa"/>
            <w:shd w:val="clear" w:color="auto" w:fill="auto"/>
            <w:vAlign w:val="center"/>
          </w:tcPr>
          <w:p>
            <w:pPr>
              <w:pStyle w:val="45"/>
              <w:keepNext w:val="0"/>
              <w:keepLines w:val="0"/>
              <w:pageBreakBefore w:val="0"/>
              <w:widowControl w:val="0"/>
              <w:kinsoku/>
              <w:wordWrap/>
              <w:overflowPunct/>
              <w:topLinePunct w:val="0"/>
              <w:autoSpaceDE/>
              <w:autoSpaceDN/>
              <w:bidi w:val="0"/>
              <w:spacing w:before="0" w:beforeAutospacing="0" w:after="0" w:afterAutospacing="0" w:line="360" w:lineRule="auto"/>
              <w:jc w:val="center"/>
              <w:textAlignment w:val="auto"/>
              <w:rPr>
                <w:rFonts w:asciiTheme="minorEastAsia" w:hAnsiTheme="minorEastAsia" w:eastAsiaTheme="minorEastAsia"/>
                <w:sz w:val="21"/>
              </w:rPr>
            </w:pPr>
            <w:r>
              <w:rPr>
                <w:rFonts w:hint="eastAsia" w:asciiTheme="minorEastAsia" w:hAnsiTheme="minorEastAsia" w:eastAsiaTheme="minorEastAsia"/>
                <w:sz w:val="21"/>
              </w:rPr>
              <w:t>项</w:t>
            </w:r>
          </w:p>
        </w:tc>
        <w:tc>
          <w:tcPr>
            <w:tcW w:w="2693" w:type="dxa"/>
            <w:shd w:val="clear" w:color="auto" w:fill="auto"/>
            <w:vAlign w:val="center"/>
          </w:tcPr>
          <w:p>
            <w:pPr>
              <w:pStyle w:val="45"/>
              <w:keepNext w:val="0"/>
              <w:keepLines w:val="0"/>
              <w:pageBreakBefore w:val="0"/>
              <w:widowControl w:val="0"/>
              <w:kinsoku/>
              <w:wordWrap/>
              <w:overflowPunct/>
              <w:topLinePunct w:val="0"/>
              <w:autoSpaceDE/>
              <w:autoSpaceDN/>
              <w:bidi w:val="0"/>
              <w:spacing w:before="0" w:beforeAutospacing="0" w:after="0" w:afterAutospacing="0" w:line="360" w:lineRule="auto"/>
              <w:jc w:val="center"/>
              <w:textAlignment w:val="auto"/>
              <w:rPr>
                <w:rFonts w:asciiTheme="minorEastAsia" w:hAnsiTheme="minorEastAsia" w:eastAsiaTheme="minorEastAsia"/>
                <w:sz w:val="21"/>
              </w:rPr>
            </w:pPr>
            <w:r>
              <w:rPr>
                <w:rFonts w:hint="eastAsia" w:asciiTheme="minorEastAsia" w:hAnsiTheme="minorEastAsia" w:eastAsiaTheme="minorEastAsia"/>
                <w:sz w:val="21"/>
              </w:rPr>
              <w:t>详见招标文件项目需求</w:t>
            </w:r>
          </w:p>
        </w:tc>
        <w:tc>
          <w:tcPr>
            <w:tcW w:w="1276" w:type="dxa"/>
            <w:shd w:val="clear" w:color="auto" w:fill="auto"/>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asciiTheme="minorEastAsia" w:hAnsiTheme="minorEastAsia" w:eastAsiaTheme="minorEastAsia"/>
              </w:rPr>
            </w:pPr>
            <w:r>
              <w:rPr>
                <w:rFonts w:hint="eastAsia" w:asciiTheme="minorEastAsia" w:hAnsiTheme="minorEastAsia" w:eastAsiaTheme="minorEastAsia"/>
              </w:rPr>
              <w:t>无</w:t>
            </w:r>
          </w:p>
        </w:tc>
      </w:tr>
    </w:tbl>
    <w:p>
      <w:pPr>
        <w:pStyle w:val="453"/>
        <w:keepNext w:val="0"/>
        <w:keepLines w:val="0"/>
        <w:pageBreakBefore w:val="0"/>
        <w:widowControl w:val="0"/>
        <w:kinsoku/>
        <w:wordWrap/>
        <w:overflowPunct/>
        <w:topLinePunct w:val="0"/>
        <w:autoSpaceDE/>
        <w:autoSpaceDN/>
        <w:bidi w:val="0"/>
        <w:adjustRightInd w:val="0"/>
        <w:snapToGrid w:val="0"/>
        <w:spacing w:before="156" w:beforeLines="50" w:beforeAutospacing="0" w:after="0" w:afterAutospacing="0" w:line="360" w:lineRule="auto"/>
        <w:ind w:firstLine="422" w:firstLineChars="201"/>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7、合同履行期限：详见招标文件</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2" w:firstLineChars="201"/>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8、本项目（是/否）接受联合体投标：详见“申请人的资格要求”</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59" w:leftChars="171"/>
        <w:textAlignment w:val="auto"/>
        <w:rPr>
          <w:rFonts w:ascii="宋体" w:hAnsi="宋体" w:eastAsia="宋体"/>
          <w:b/>
          <w:snapToGrid w:val="0"/>
          <w:color w:val="auto"/>
          <w:sz w:val="21"/>
          <w:szCs w:val="21"/>
        </w:rPr>
      </w:pP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60" w:leftChars="1" w:hanging="358" w:hangingChars="170"/>
        <w:textAlignment w:val="auto"/>
        <w:rPr>
          <w:rFonts w:ascii="宋体" w:hAnsi="宋体" w:eastAsia="宋体"/>
          <w:b/>
          <w:snapToGrid w:val="0"/>
          <w:color w:val="auto"/>
          <w:sz w:val="21"/>
          <w:szCs w:val="21"/>
        </w:rPr>
      </w:pPr>
      <w:r>
        <w:rPr>
          <w:rFonts w:hint="eastAsia" w:ascii="宋体" w:hAnsi="宋体" w:eastAsia="宋体"/>
          <w:b/>
          <w:snapToGrid w:val="0"/>
          <w:color w:val="auto"/>
          <w:sz w:val="21"/>
          <w:szCs w:val="21"/>
        </w:rPr>
        <w:t>二、申请人的资格要求</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4" w:firstLineChars="202"/>
        <w:textAlignment w:val="auto"/>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及履约承诺函》加盖投标人公章）。如果是分支机构参与投标，还须同时提供其具有独立法人资格的上级主体出具的</w:t>
      </w:r>
      <w:r>
        <w:rPr>
          <w:rFonts w:hint="eastAsia" w:ascii="宋体" w:hAnsi="宋体" w:eastAsia="宋体"/>
          <w:snapToGrid w:val="0"/>
          <w:color w:val="auto"/>
          <w:sz w:val="21"/>
        </w:rPr>
        <w:t>有效授权书及</w:t>
      </w:r>
      <w:r>
        <w:rPr>
          <w:rFonts w:hint="eastAsia" w:asciiTheme="minorEastAsia" w:hAnsiTheme="minorEastAsia" w:eastAsiaTheme="minorEastAsia"/>
          <w:snapToGrid w:val="0"/>
          <w:color w:val="auto"/>
          <w:sz w:val="21"/>
        </w:rPr>
        <w:t>上级主体的</w:t>
      </w:r>
      <w:r>
        <w:rPr>
          <w:rFonts w:hint="eastAsia" w:ascii="宋体" w:hAnsi="宋体" w:eastAsia="宋体"/>
          <w:snapToGrid w:val="0"/>
          <w:color w:val="auto"/>
          <w:sz w:val="21"/>
        </w:rPr>
        <w:t>营业执照或法人证书等证明材料复印件或扫描件加盖</w:t>
      </w:r>
      <w:r>
        <w:rPr>
          <w:rFonts w:hint="eastAsia" w:asciiTheme="minorEastAsia" w:hAnsiTheme="minorEastAsia" w:eastAsiaTheme="minorEastAsia"/>
          <w:snapToGrid w:val="0"/>
          <w:color w:val="auto"/>
          <w:sz w:val="21"/>
        </w:rPr>
        <w:t>投标人</w:t>
      </w:r>
      <w:r>
        <w:rPr>
          <w:rFonts w:hint="eastAsia" w:ascii="宋体" w:hAnsi="宋体" w:eastAsia="宋体"/>
          <w:snapToGrid w:val="0"/>
          <w:color w:val="auto"/>
          <w:sz w:val="21"/>
        </w:rPr>
        <w:t>公章</w:t>
      </w:r>
      <w:r>
        <w:rPr>
          <w:rFonts w:hint="eastAsia" w:asciiTheme="minorEastAsia" w:hAnsiTheme="minorEastAsia" w:eastAsiaTheme="minorEastAsia"/>
          <w:snapToGrid w:val="0"/>
          <w:color w:val="auto"/>
          <w:sz w:val="21"/>
        </w:rPr>
        <w:t>；</w:t>
      </w:r>
      <w:r>
        <w:rPr>
          <w:rFonts w:hint="eastAsia" w:ascii="宋体" w:hAnsi="宋体" w:eastAsia="宋体"/>
          <w:snapToGrid w:val="0"/>
          <w:color w:val="auto"/>
          <w:sz w:val="21"/>
        </w:rPr>
        <w:t>本项目不接受总公司与分支机构同时参与投标，也不接受同一总公司有两个或以上分支机构参与投标，如出现以上情形，该两家或以上投标人均按无效投标处理。</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4" w:firstLineChars="202"/>
        <w:textAlignment w:val="auto"/>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2、落实政府采购政策需满足的资格要求：</w:t>
      </w:r>
      <w:r>
        <w:rPr>
          <w:rFonts w:hint="eastAsia" w:ascii="宋体" w:hAnsi="宋体" w:eastAsia="宋体"/>
          <w:snapToGrid w:val="0"/>
          <w:color w:val="auto"/>
          <w:sz w:val="21"/>
        </w:rPr>
        <w:t>本项目属于专门面向中小微企业采购的项目（提供符合要求的《中小企业声明函》，且供应商属于中型企业、小型企业或微型企业；如供应商为残疾人福利性单位或监狱企业，视同小型、微型企业，提供《残疾人福利性单位声明函》或《监狱企业声明函》及监狱企业证明文件亦视为符合）。</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4" w:firstLineChars="202"/>
        <w:textAlignment w:val="auto"/>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3、本项目的特定资格要求：</w:t>
      </w:r>
      <w:r>
        <w:rPr>
          <w:rFonts w:asciiTheme="minorEastAsia" w:hAnsiTheme="minorEastAsia" w:eastAsiaTheme="minorEastAsia"/>
          <w:snapToGrid w:val="0"/>
          <w:color w:val="auto"/>
          <w:sz w:val="21"/>
        </w:rPr>
        <w:t xml:space="preserve"> </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4" w:firstLineChars="202"/>
        <w:textAlignment w:val="auto"/>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（1）参与本项目采购活动前三年内，在经营活动中没有重大违法记录（须按本项目投标文件格式要求提供《政府采购投标及履约承诺函》加盖投标人公章）；</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4" w:firstLineChars="202"/>
        <w:textAlignment w:val="auto"/>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（2）参与本项目政府采购活动时不存在被有关部门禁止参与政府采购活动且在有效期内的情况（须按本项目投标文件格式要求提供《政府采购投标及履约承诺函》加盖投标人公章）；</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4" w:firstLineChars="202"/>
        <w:textAlignment w:val="auto"/>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除单一来源采购项目外，为采购项目提供整体设计、规范编制或者项目管理、监理、检测等服务的供应商，不得再参加该采购项目的其他采购活动（须按本项目投标文件格式要求提供《政府采购投标及履约承诺函》加盖投标人公章）；</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4" w:firstLineChars="202"/>
        <w:textAlignment w:val="auto"/>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（4）参与本项目政府采购活动不存在与其他采购参加人串通投标，隐瞒真实情况，提供虚假资料等违法违规情形（须按本项目投标文件格式要求提供《政府采购投标及履约承诺函》加盖投标人公章）；</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4" w:firstLineChars="202"/>
        <w:textAlignment w:val="auto"/>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5）单位负责人为同一人或者存在直接控股、管理关系的不同供应商，不得参加同一合同项下的政府采购活动，采购代理机构通过国家企业信用信息公示系统（https://www.gsxt.gov.cn/index.html）或机关赋码和事业单位登记管理网（http://www.gjsy.gov.cn/sydwfrxxcx/）或全国社会组织信用信息公示平台（https://xxgs.chinanpo.mca.gov.cn/gsxt/newList）网站查询投标人信息，投标人无需提供证明材料；</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4" w:firstLineChars="202"/>
        <w:textAlignment w:val="auto"/>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6）未被列入失信被执行人、重大税收违法案件当事人名单及政府采购严重违法失信行为记录名单（信用中国网“信用服务”栏的“重大税收违法失信主体”、“失信被执行人”，中国政府采购网“政府采购严重违法失信行为记录名单”，深圳信用网以及深圳市政府采购监管网为投标人信用信息查询渠道，相关信息以开标当日的查询结果为准。由采购代理机构查询，投标人无需提供证明材料）；</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4" w:firstLineChars="202"/>
        <w:textAlignment w:val="auto"/>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（7）本项目不接受联合体投标。</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59" w:leftChars="171"/>
        <w:textAlignment w:val="auto"/>
        <w:rPr>
          <w:rFonts w:ascii="宋体" w:hAnsi="宋体" w:eastAsia="宋体"/>
          <w:snapToGrid w:val="0"/>
          <w:color w:val="auto"/>
          <w:sz w:val="21"/>
          <w:szCs w:val="21"/>
        </w:rPr>
      </w:pP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60" w:leftChars="1" w:hanging="358" w:hangingChars="170"/>
        <w:textAlignment w:val="auto"/>
        <w:rPr>
          <w:rFonts w:ascii="宋体" w:hAnsi="宋体" w:eastAsia="宋体"/>
          <w:b/>
          <w:snapToGrid w:val="0"/>
          <w:color w:val="auto"/>
          <w:sz w:val="21"/>
          <w:szCs w:val="21"/>
        </w:rPr>
      </w:pPr>
      <w:r>
        <w:rPr>
          <w:rFonts w:hint="eastAsia" w:ascii="宋体" w:hAnsi="宋体" w:eastAsia="宋体"/>
          <w:b/>
          <w:snapToGrid w:val="0"/>
          <w:color w:val="auto"/>
          <w:sz w:val="21"/>
          <w:szCs w:val="21"/>
        </w:rPr>
        <w:t>三、获取招标文件</w:t>
      </w:r>
      <w:r>
        <w:rPr>
          <w:rFonts w:ascii="宋体" w:hAnsi="宋体" w:eastAsia="宋体"/>
          <w:b/>
          <w:snapToGrid w:val="0"/>
          <w:color w:val="auto"/>
          <w:sz w:val="21"/>
          <w:szCs w:val="21"/>
        </w:rPr>
        <w:t xml:space="preserve"> </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6"/>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2024年</w:t>
      </w:r>
      <w:r>
        <w:rPr>
          <w:rFonts w:hint="eastAsia" w:ascii="宋体" w:hAnsi="宋体" w:eastAsia="宋体"/>
          <w:snapToGrid w:val="0"/>
          <w:color w:val="auto"/>
          <w:sz w:val="21"/>
          <w:szCs w:val="21"/>
          <w:u w:val="single"/>
          <w:lang w:val="en-US" w:eastAsia="zh-CN"/>
        </w:rPr>
        <w:t>04</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11</w:t>
      </w:r>
      <w:r>
        <w:rPr>
          <w:rFonts w:hint="eastAsia" w:ascii="宋体" w:hAnsi="宋体" w:eastAsia="宋体"/>
          <w:snapToGrid w:val="0"/>
          <w:color w:val="auto"/>
          <w:sz w:val="21"/>
          <w:szCs w:val="21"/>
          <w:u w:val="single"/>
        </w:rPr>
        <w:t>日至2024年</w:t>
      </w:r>
      <w:r>
        <w:rPr>
          <w:rFonts w:hint="eastAsia" w:ascii="宋体" w:hAnsi="宋体" w:eastAsia="宋体"/>
          <w:snapToGrid w:val="0"/>
          <w:color w:val="auto"/>
          <w:sz w:val="21"/>
          <w:szCs w:val="21"/>
          <w:u w:val="single"/>
          <w:lang w:val="en-US" w:eastAsia="zh-CN"/>
        </w:rPr>
        <w:t>04</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18</w:t>
      </w:r>
      <w:r>
        <w:rPr>
          <w:rFonts w:hint="eastAsia" w:ascii="宋体" w:hAnsi="宋体" w:eastAsia="宋体"/>
          <w:snapToGrid w:val="0"/>
          <w:color w:val="auto"/>
          <w:sz w:val="21"/>
          <w:szCs w:val="21"/>
          <w:u w:val="single"/>
        </w:rPr>
        <w:t>日，每天上午9：00至</w:t>
      </w:r>
      <w:r>
        <w:rPr>
          <w:rFonts w:ascii="宋体" w:hAnsi="宋体" w:eastAsia="宋体"/>
          <w:snapToGrid w:val="0"/>
          <w:color w:val="auto"/>
          <w:sz w:val="21"/>
          <w:szCs w:val="21"/>
          <w:u w:val="single"/>
        </w:rPr>
        <w:t>11:30</w:t>
      </w:r>
      <w:r>
        <w:rPr>
          <w:rFonts w:hint="eastAsia" w:ascii="宋体" w:hAnsi="宋体" w:eastAsia="宋体"/>
          <w:snapToGrid w:val="0"/>
          <w:color w:val="auto"/>
          <w:sz w:val="21"/>
          <w:szCs w:val="21"/>
          <w:u w:val="single"/>
        </w:rPr>
        <w:t>，下午14：</w:t>
      </w:r>
      <w:r>
        <w:rPr>
          <w:rFonts w:ascii="宋体" w:hAnsi="宋体" w:eastAsia="宋体"/>
          <w:snapToGrid w:val="0"/>
          <w:color w:val="auto"/>
          <w:sz w:val="21"/>
          <w:szCs w:val="21"/>
          <w:u w:val="single"/>
        </w:rPr>
        <w:t>3</w:t>
      </w:r>
      <w:r>
        <w:rPr>
          <w:rFonts w:hint="eastAsia" w:ascii="宋体" w:hAnsi="宋体" w:eastAsia="宋体"/>
          <w:snapToGrid w:val="0"/>
          <w:color w:val="auto"/>
          <w:sz w:val="21"/>
          <w:szCs w:val="21"/>
          <w:u w:val="single"/>
        </w:rPr>
        <w:t>0至</w:t>
      </w:r>
      <w:r>
        <w:rPr>
          <w:rFonts w:ascii="宋体" w:hAnsi="宋体" w:eastAsia="宋体"/>
          <w:snapToGrid w:val="0"/>
          <w:color w:val="auto"/>
          <w:sz w:val="21"/>
          <w:szCs w:val="21"/>
          <w:u w:val="single"/>
        </w:rPr>
        <w:t>17:30</w:t>
      </w:r>
      <w:r>
        <w:rPr>
          <w:rFonts w:hint="eastAsia" w:ascii="宋体" w:hAnsi="宋体" w:eastAsia="宋体"/>
          <w:snapToGrid w:val="0"/>
          <w:color w:val="auto"/>
          <w:sz w:val="21"/>
          <w:szCs w:val="21"/>
          <w:u w:val="single"/>
        </w:rPr>
        <w:t>（北京时间，</w:t>
      </w:r>
      <w:r>
        <w:rPr>
          <w:rFonts w:ascii="宋体" w:hAnsi="宋体" w:eastAsia="宋体"/>
          <w:snapToGrid w:val="0"/>
          <w:color w:val="auto"/>
          <w:sz w:val="21"/>
          <w:szCs w:val="21"/>
          <w:u w:val="single"/>
        </w:rPr>
        <w:t>法定节假日</w:t>
      </w:r>
      <w:r>
        <w:rPr>
          <w:rFonts w:hint="eastAsia" w:ascii="宋体" w:hAnsi="宋体" w:eastAsia="宋体"/>
          <w:snapToGrid w:val="0"/>
          <w:color w:val="auto"/>
          <w:sz w:val="21"/>
          <w:szCs w:val="21"/>
          <w:u w:val="single"/>
        </w:rPr>
        <w:t>除外）</w:t>
      </w:r>
      <w:r>
        <w:rPr>
          <w:rFonts w:hint="eastAsia" w:ascii="宋体" w:hAnsi="宋体" w:eastAsia="宋体"/>
          <w:snapToGrid w:val="0"/>
          <w:color w:val="auto"/>
          <w:sz w:val="21"/>
          <w:szCs w:val="21"/>
        </w:rPr>
        <w:t>。</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6"/>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深圳市福田区民田路171号新华保险大厦903</w:t>
      </w:r>
      <w:r>
        <w:rPr>
          <w:rFonts w:hint="eastAsia" w:ascii="宋体" w:hAnsi="宋体" w:eastAsia="宋体"/>
          <w:snapToGrid w:val="0"/>
          <w:color w:val="auto"/>
          <w:sz w:val="21"/>
          <w:szCs w:val="21"/>
        </w:rPr>
        <w:t>。</w:t>
      </w:r>
      <w:r>
        <w:rPr>
          <w:rFonts w:ascii="宋体" w:hAnsi="宋体" w:eastAsia="宋体"/>
          <w:snapToGrid w:val="0"/>
          <w:color w:val="auto"/>
          <w:sz w:val="21"/>
          <w:szCs w:val="21"/>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426"/>
        <w:jc w:val="left"/>
        <w:textAlignment w:val="auto"/>
        <w:rPr>
          <w:rFonts w:ascii="宋体" w:hAnsi="宋体" w:cs="Arial Unicode MS"/>
          <w:snapToGrid w:val="0"/>
          <w:kern w:val="0"/>
          <w:szCs w:val="21"/>
        </w:rPr>
      </w:pPr>
      <w:r>
        <w:rPr>
          <w:rFonts w:hint="eastAsia" w:ascii="宋体" w:hAnsi="宋体" w:cs="Arial Unicode MS"/>
          <w:snapToGrid w:val="0"/>
          <w:kern w:val="0"/>
          <w:szCs w:val="21"/>
        </w:rPr>
        <w:t>3、方式：现场获取或线上获取</w:t>
      </w:r>
    </w:p>
    <w:p>
      <w:pPr>
        <w:keepNext w:val="0"/>
        <w:keepLines w:val="0"/>
        <w:pageBreakBefore w:val="0"/>
        <w:widowControl w:val="0"/>
        <w:kinsoku/>
        <w:wordWrap/>
        <w:overflowPunct/>
        <w:topLinePunct w:val="0"/>
        <w:autoSpaceDE/>
        <w:autoSpaceDN/>
        <w:bidi w:val="0"/>
        <w:adjustRightInd w:val="0"/>
        <w:snapToGrid w:val="0"/>
        <w:spacing w:line="360" w:lineRule="auto"/>
        <w:ind w:firstLine="426"/>
        <w:jc w:val="left"/>
        <w:textAlignment w:val="auto"/>
        <w:rPr>
          <w:rFonts w:ascii="宋体" w:hAnsi="宋体" w:cs="Arial Unicode MS"/>
          <w:snapToGrid w:val="0"/>
          <w:kern w:val="0"/>
          <w:szCs w:val="21"/>
        </w:rPr>
      </w:pPr>
      <w:r>
        <w:rPr>
          <w:rFonts w:hint="eastAsia" w:ascii="宋体" w:hAnsi="宋体" w:cs="Arial Unicode MS"/>
          <w:snapToGrid w:val="0"/>
          <w:kern w:val="0"/>
          <w:szCs w:val="21"/>
        </w:rPr>
        <w:t>（1）现场获取：投标人按以上时间和地点现场报名和获取招标文件，需携带以下资料:</w:t>
      </w:r>
      <w:r>
        <w:rPr>
          <w:rFonts w:ascii="宋体" w:hAnsi="宋体" w:cs="Arial Unicode MS"/>
          <w:snapToGrid w:val="0"/>
          <w:kern w:val="0"/>
          <w:szCs w:val="21"/>
        </w:rPr>
        <w:fldChar w:fldCharType="begin"/>
      </w:r>
      <w:r>
        <w:rPr>
          <w:rFonts w:ascii="宋体" w:hAnsi="宋体" w:cs="Arial Unicode MS"/>
          <w:snapToGrid w:val="0"/>
          <w:kern w:val="0"/>
          <w:szCs w:val="21"/>
        </w:rPr>
        <w:instrText xml:space="preserve"> </w:instrText>
      </w:r>
      <w:r>
        <w:rPr>
          <w:rFonts w:hint="eastAsia" w:ascii="宋体" w:hAnsi="宋体" w:cs="Arial Unicode MS"/>
          <w:snapToGrid w:val="0"/>
          <w:kern w:val="0"/>
          <w:szCs w:val="21"/>
        </w:rPr>
        <w:instrText xml:space="preserve">= 1 \* GB3</w:instrText>
      </w:r>
      <w:r>
        <w:rPr>
          <w:rFonts w:ascii="宋体" w:hAnsi="宋体" w:cs="Arial Unicode MS"/>
          <w:snapToGrid w:val="0"/>
          <w:kern w:val="0"/>
          <w:szCs w:val="21"/>
        </w:rPr>
        <w:instrText xml:space="preserve"> </w:instrText>
      </w:r>
      <w:r>
        <w:rPr>
          <w:rFonts w:ascii="宋体" w:hAnsi="宋体" w:cs="Arial Unicode MS"/>
          <w:snapToGrid w:val="0"/>
          <w:kern w:val="0"/>
          <w:szCs w:val="21"/>
        </w:rPr>
        <w:fldChar w:fldCharType="separate"/>
      </w:r>
      <w:r>
        <w:rPr>
          <w:rFonts w:hint="eastAsia" w:ascii="宋体" w:hAnsi="宋体" w:cs="Arial Unicode MS"/>
          <w:snapToGrid w:val="0"/>
          <w:kern w:val="0"/>
          <w:szCs w:val="21"/>
        </w:rPr>
        <w:t>①</w:t>
      </w:r>
      <w:r>
        <w:rPr>
          <w:rFonts w:ascii="宋体" w:hAnsi="宋体" w:cs="Arial Unicode MS"/>
          <w:snapToGrid w:val="0"/>
          <w:kern w:val="0"/>
          <w:szCs w:val="21"/>
        </w:rPr>
        <w:fldChar w:fldCharType="end"/>
      </w:r>
      <w:r>
        <w:rPr>
          <w:rFonts w:hint="eastAsia" w:ascii="宋体" w:hAnsi="宋体" w:cs="Arial Unicode MS"/>
          <w:snapToGrid w:val="0"/>
          <w:kern w:val="0"/>
          <w:szCs w:val="21"/>
        </w:rPr>
        <w:t>加盖公章的营业执照或法人证书等复印件或扫描件；</w:t>
      </w:r>
      <w:r>
        <w:rPr>
          <w:rFonts w:ascii="宋体" w:hAnsi="宋体" w:cs="Arial Unicode MS"/>
          <w:snapToGrid w:val="0"/>
          <w:kern w:val="0"/>
          <w:szCs w:val="21"/>
        </w:rPr>
        <w:fldChar w:fldCharType="begin"/>
      </w:r>
      <w:r>
        <w:rPr>
          <w:rFonts w:ascii="宋体" w:hAnsi="宋体" w:cs="Arial Unicode MS"/>
          <w:snapToGrid w:val="0"/>
          <w:kern w:val="0"/>
          <w:szCs w:val="21"/>
        </w:rPr>
        <w:instrText xml:space="preserve"> </w:instrText>
      </w:r>
      <w:r>
        <w:rPr>
          <w:rFonts w:hint="eastAsia" w:ascii="宋体" w:hAnsi="宋体" w:cs="Arial Unicode MS"/>
          <w:snapToGrid w:val="0"/>
          <w:kern w:val="0"/>
          <w:szCs w:val="21"/>
        </w:rPr>
        <w:instrText xml:space="preserve">= 2 \* GB3</w:instrText>
      </w:r>
      <w:r>
        <w:rPr>
          <w:rFonts w:ascii="宋体" w:hAnsi="宋体" w:cs="Arial Unicode MS"/>
          <w:snapToGrid w:val="0"/>
          <w:kern w:val="0"/>
          <w:szCs w:val="21"/>
        </w:rPr>
        <w:instrText xml:space="preserve"> </w:instrText>
      </w:r>
      <w:r>
        <w:rPr>
          <w:rFonts w:ascii="宋体" w:hAnsi="宋体" w:cs="Arial Unicode MS"/>
          <w:snapToGrid w:val="0"/>
          <w:kern w:val="0"/>
          <w:szCs w:val="21"/>
        </w:rPr>
        <w:fldChar w:fldCharType="separate"/>
      </w:r>
      <w:r>
        <w:rPr>
          <w:rFonts w:hint="eastAsia" w:ascii="宋体" w:hAnsi="宋体" w:cs="Arial Unicode MS"/>
          <w:snapToGrid w:val="0"/>
          <w:kern w:val="0"/>
          <w:szCs w:val="21"/>
        </w:rPr>
        <w:t>②</w:t>
      </w:r>
      <w:r>
        <w:rPr>
          <w:rFonts w:ascii="宋体" w:hAnsi="宋体" w:cs="Arial Unicode MS"/>
          <w:snapToGrid w:val="0"/>
          <w:kern w:val="0"/>
          <w:szCs w:val="21"/>
        </w:rPr>
        <w:fldChar w:fldCharType="end"/>
      </w:r>
      <w:r>
        <w:rPr>
          <w:rFonts w:hint="eastAsia" w:ascii="宋体" w:hAnsi="宋体" w:cs="Arial Unicode MS"/>
          <w:snapToGrid w:val="0"/>
          <w:kern w:val="0"/>
          <w:szCs w:val="21"/>
        </w:rPr>
        <w:t>加盖公章的法定代表人授权委托书复印件或扫描件。</w:t>
      </w:r>
    </w:p>
    <w:p>
      <w:pPr>
        <w:keepNext w:val="0"/>
        <w:keepLines w:val="0"/>
        <w:pageBreakBefore w:val="0"/>
        <w:widowControl w:val="0"/>
        <w:kinsoku/>
        <w:wordWrap/>
        <w:overflowPunct/>
        <w:topLinePunct w:val="0"/>
        <w:autoSpaceDE/>
        <w:autoSpaceDN/>
        <w:bidi w:val="0"/>
        <w:adjustRightInd w:val="0"/>
        <w:snapToGrid w:val="0"/>
        <w:spacing w:line="360" w:lineRule="auto"/>
        <w:ind w:firstLine="426"/>
        <w:jc w:val="left"/>
        <w:textAlignment w:val="auto"/>
        <w:rPr>
          <w:rFonts w:ascii="宋体" w:hAnsi="宋体" w:cs="Arial Unicode MS"/>
          <w:snapToGrid w:val="0"/>
          <w:kern w:val="0"/>
          <w:szCs w:val="21"/>
        </w:rPr>
      </w:pPr>
      <w:r>
        <w:rPr>
          <w:rFonts w:hint="eastAsia" w:ascii="宋体" w:hAnsi="宋体" w:cs="Arial Unicode MS"/>
          <w:snapToGrid w:val="0"/>
          <w:kern w:val="0"/>
          <w:szCs w:val="21"/>
        </w:rPr>
        <w:t xml:space="preserve">（2）线上获取：投标人通过邮件报名及获取招标文件，报名时间以我司邮箱收件时间为准（我司邮箱：qtszzzzb@163.com），逾期不予受理。需提供以下资料: </w:t>
      </w:r>
      <w:r>
        <w:rPr>
          <w:rFonts w:ascii="宋体" w:hAnsi="宋体" w:cs="Arial Unicode MS"/>
          <w:snapToGrid w:val="0"/>
          <w:kern w:val="0"/>
          <w:szCs w:val="21"/>
        </w:rPr>
        <w:fldChar w:fldCharType="begin"/>
      </w:r>
      <w:r>
        <w:rPr>
          <w:rFonts w:ascii="宋体" w:hAnsi="宋体" w:cs="Arial Unicode MS"/>
          <w:snapToGrid w:val="0"/>
          <w:kern w:val="0"/>
          <w:szCs w:val="21"/>
        </w:rPr>
        <w:instrText xml:space="preserve"> </w:instrText>
      </w:r>
      <w:r>
        <w:rPr>
          <w:rFonts w:hint="eastAsia" w:ascii="宋体" w:hAnsi="宋体" w:cs="Arial Unicode MS"/>
          <w:snapToGrid w:val="0"/>
          <w:kern w:val="0"/>
          <w:szCs w:val="21"/>
        </w:rPr>
        <w:instrText xml:space="preserve">= 1 \* GB3</w:instrText>
      </w:r>
      <w:r>
        <w:rPr>
          <w:rFonts w:ascii="宋体" w:hAnsi="宋体" w:cs="Arial Unicode MS"/>
          <w:snapToGrid w:val="0"/>
          <w:kern w:val="0"/>
          <w:szCs w:val="21"/>
        </w:rPr>
        <w:instrText xml:space="preserve"> </w:instrText>
      </w:r>
      <w:r>
        <w:rPr>
          <w:rFonts w:ascii="宋体" w:hAnsi="宋体" w:cs="Arial Unicode MS"/>
          <w:snapToGrid w:val="0"/>
          <w:kern w:val="0"/>
          <w:szCs w:val="21"/>
        </w:rPr>
        <w:fldChar w:fldCharType="separate"/>
      </w:r>
      <w:r>
        <w:rPr>
          <w:rFonts w:hint="eastAsia" w:ascii="宋体" w:hAnsi="宋体" w:cs="Arial Unicode MS"/>
          <w:snapToGrid w:val="0"/>
          <w:kern w:val="0"/>
          <w:szCs w:val="21"/>
        </w:rPr>
        <w:t>①</w:t>
      </w:r>
      <w:r>
        <w:rPr>
          <w:rFonts w:ascii="宋体" w:hAnsi="宋体" w:cs="Arial Unicode MS"/>
          <w:snapToGrid w:val="0"/>
          <w:kern w:val="0"/>
          <w:szCs w:val="21"/>
        </w:rPr>
        <w:fldChar w:fldCharType="end"/>
      </w:r>
      <w:r>
        <w:rPr>
          <w:rFonts w:hint="eastAsia" w:ascii="宋体" w:hAnsi="宋体" w:cs="Arial Unicode MS"/>
          <w:snapToGrid w:val="0"/>
          <w:kern w:val="0"/>
          <w:szCs w:val="21"/>
        </w:rPr>
        <w:t>加盖公章的《购买标书登记表》（下载地址：www.szzzt.com 首页“下载中心”）；</w:t>
      </w:r>
      <w:r>
        <w:rPr>
          <w:rFonts w:ascii="宋体" w:hAnsi="宋体" w:cs="Arial Unicode MS"/>
          <w:snapToGrid w:val="0"/>
          <w:kern w:val="0"/>
          <w:szCs w:val="21"/>
        </w:rPr>
        <w:fldChar w:fldCharType="begin"/>
      </w:r>
      <w:r>
        <w:rPr>
          <w:rFonts w:ascii="宋体" w:hAnsi="宋体" w:cs="Arial Unicode MS"/>
          <w:snapToGrid w:val="0"/>
          <w:kern w:val="0"/>
          <w:szCs w:val="21"/>
        </w:rPr>
        <w:instrText xml:space="preserve"> </w:instrText>
      </w:r>
      <w:r>
        <w:rPr>
          <w:rFonts w:hint="eastAsia" w:ascii="宋体" w:hAnsi="宋体" w:cs="Arial Unicode MS"/>
          <w:snapToGrid w:val="0"/>
          <w:kern w:val="0"/>
          <w:szCs w:val="21"/>
        </w:rPr>
        <w:instrText xml:space="preserve">= 2 \* GB3</w:instrText>
      </w:r>
      <w:r>
        <w:rPr>
          <w:rFonts w:ascii="宋体" w:hAnsi="宋体" w:cs="Arial Unicode MS"/>
          <w:snapToGrid w:val="0"/>
          <w:kern w:val="0"/>
          <w:szCs w:val="21"/>
        </w:rPr>
        <w:instrText xml:space="preserve"> </w:instrText>
      </w:r>
      <w:r>
        <w:rPr>
          <w:rFonts w:ascii="宋体" w:hAnsi="宋体" w:cs="Arial Unicode MS"/>
          <w:snapToGrid w:val="0"/>
          <w:kern w:val="0"/>
          <w:szCs w:val="21"/>
        </w:rPr>
        <w:fldChar w:fldCharType="separate"/>
      </w:r>
      <w:r>
        <w:rPr>
          <w:rFonts w:hint="eastAsia" w:ascii="宋体" w:hAnsi="宋体" w:cs="Arial Unicode MS"/>
          <w:snapToGrid w:val="0"/>
          <w:kern w:val="0"/>
          <w:szCs w:val="21"/>
        </w:rPr>
        <w:t>②</w:t>
      </w:r>
      <w:r>
        <w:rPr>
          <w:rFonts w:ascii="宋体" w:hAnsi="宋体" w:cs="Arial Unicode MS"/>
          <w:snapToGrid w:val="0"/>
          <w:kern w:val="0"/>
          <w:szCs w:val="21"/>
        </w:rPr>
        <w:fldChar w:fldCharType="end"/>
      </w:r>
      <w:r>
        <w:rPr>
          <w:rFonts w:hint="eastAsia" w:ascii="宋体" w:hAnsi="宋体" w:cs="Arial Unicode MS"/>
          <w:snapToGrid w:val="0"/>
          <w:kern w:val="0"/>
          <w:szCs w:val="21"/>
        </w:rPr>
        <w:t>加盖公章的营业执照或法人证书等复印件或扫描件；</w:t>
      </w:r>
      <w:r>
        <w:rPr>
          <w:rFonts w:ascii="宋体" w:hAnsi="宋体" w:cs="Arial Unicode MS"/>
          <w:snapToGrid w:val="0"/>
          <w:kern w:val="0"/>
          <w:szCs w:val="21"/>
        </w:rPr>
        <w:fldChar w:fldCharType="begin"/>
      </w:r>
      <w:r>
        <w:rPr>
          <w:rFonts w:ascii="宋体" w:hAnsi="宋体" w:cs="Arial Unicode MS"/>
          <w:snapToGrid w:val="0"/>
          <w:kern w:val="0"/>
          <w:szCs w:val="21"/>
        </w:rPr>
        <w:instrText xml:space="preserve"> </w:instrText>
      </w:r>
      <w:r>
        <w:rPr>
          <w:rFonts w:hint="eastAsia" w:ascii="宋体" w:hAnsi="宋体" w:cs="Arial Unicode MS"/>
          <w:snapToGrid w:val="0"/>
          <w:kern w:val="0"/>
          <w:szCs w:val="21"/>
        </w:rPr>
        <w:instrText xml:space="preserve">= 3 \* GB3</w:instrText>
      </w:r>
      <w:r>
        <w:rPr>
          <w:rFonts w:ascii="宋体" w:hAnsi="宋体" w:cs="Arial Unicode MS"/>
          <w:snapToGrid w:val="0"/>
          <w:kern w:val="0"/>
          <w:szCs w:val="21"/>
        </w:rPr>
        <w:instrText xml:space="preserve"> </w:instrText>
      </w:r>
      <w:r>
        <w:rPr>
          <w:rFonts w:ascii="宋体" w:hAnsi="宋体" w:cs="Arial Unicode MS"/>
          <w:snapToGrid w:val="0"/>
          <w:kern w:val="0"/>
          <w:szCs w:val="21"/>
        </w:rPr>
        <w:fldChar w:fldCharType="separate"/>
      </w:r>
      <w:r>
        <w:rPr>
          <w:rFonts w:hint="eastAsia" w:ascii="宋体" w:hAnsi="宋体" w:cs="Arial Unicode MS"/>
          <w:snapToGrid w:val="0"/>
          <w:kern w:val="0"/>
          <w:szCs w:val="21"/>
        </w:rPr>
        <w:t>③</w:t>
      </w:r>
      <w:r>
        <w:rPr>
          <w:rFonts w:ascii="宋体" w:hAnsi="宋体" w:cs="Arial Unicode MS"/>
          <w:snapToGrid w:val="0"/>
          <w:kern w:val="0"/>
          <w:szCs w:val="21"/>
        </w:rPr>
        <w:fldChar w:fldCharType="end"/>
      </w:r>
      <w:r>
        <w:rPr>
          <w:rFonts w:hint="eastAsia" w:ascii="宋体" w:hAnsi="宋体" w:cs="Arial Unicode MS"/>
          <w:snapToGrid w:val="0"/>
          <w:kern w:val="0"/>
          <w:szCs w:val="21"/>
        </w:rPr>
        <w:t>加盖公章的法定代表人授权委托书复印件或扫描件；</w:t>
      </w:r>
      <w:r>
        <w:rPr>
          <w:rFonts w:ascii="宋体" w:hAnsi="宋体" w:cs="Arial Unicode MS"/>
          <w:snapToGrid w:val="0"/>
          <w:kern w:val="0"/>
          <w:szCs w:val="21"/>
        </w:rPr>
        <w:fldChar w:fldCharType="begin"/>
      </w:r>
      <w:r>
        <w:rPr>
          <w:rFonts w:ascii="宋体" w:hAnsi="宋体" w:cs="Arial Unicode MS"/>
          <w:snapToGrid w:val="0"/>
          <w:kern w:val="0"/>
          <w:szCs w:val="21"/>
        </w:rPr>
        <w:instrText xml:space="preserve"> </w:instrText>
      </w:r>
      <w:r>
        <w:rPr>
          <w:rFonts w:hint="eastAsia" w:ascii="宋体" w:hAnsi="宋体" w:cs="Arial Unicode MS"/>
          <w:snapToGrid w:val="0"/>
          <w:kern w:val="0"/>
          <w:szCs w:val="21"/>
        </w:rPr>
        <w:instrText xml:space="preserve">= 4 \* GB3</w:instrText>
      </w:r>
      <w:r>
        <w:rPr>
          <w:rFonts w:ascii="宋体" w:hAnsi="宋体" w:cs="Arial Unicode MS"/>
          <w:snapToGrid w:val="0"/>
          <w:kern w:val="0"/>
          <w:szCs w:val="21"/>
        </w:rPr>
        <w:instrText xml:space="preserve"> </w:instrText>
      </w:r>
      <w:r>
        <w:rPr>
          <w:rFonts w:ascii="宋体" w:hAnsi="宋体" w:cs="Arial Unicode MS"/>
          <w:snapToGrid w:val="0"/>
          <w:kern w:val="0"/>
          <w:szCs w:val="21"/>
        </w:rPr>
        <w:fldChar w:fldCharType="separate"/>
      </w:r>
      <w:r>
        <w:rPr>
          <w:rFonts w:hint="eastAsia" w:ascii="宋体" w:hAnsi="宋体" w:cs="Arial Unicode MS"/>
          <w:snapToGrid w:val="0"/>
          <w:kern w:val="0"/>
          <w:szCs w:val="21"/>
        </w:rPr>
        <w:t>④</w:t>
      </w:r>
      <w:r>
        <w:rPr>
          <w:rFonts w:ascii="宋体" w:hAnsi="宋体" w:cs="Arial Unicode MS"/>
          <w:snapToGrid w:val="0"/>
          <w:kern w:val="0"/>
          <w:szCs w:val="21"/>
        </w:rPr>
        <w:fldChar w:fldCharType="end"/>
      </w:r>
      <w:r>
        <w:rPr>
          <w:rFonts w:hint="eastAsia" w:ascii="宋体" w:hAnsi="宋体" w:cs="Arial Unicode MS"/>
          <w:snapToGrid w:val="0"/>
          <w:kern w:val="0"/>
          <w:szCs w:val="21"/>
        </w:rPr>
        <w:t>购买招标文件费用的银行转账凭证。</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6"/>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4、售价：人民币600元，招标文件售后不退。购买招标文件账号信息如下：</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6"/>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银行账号：03003729353</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6"/>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开户名称：深圳市中正招标有限公司</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6"/>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开户银行：上海银行深圳天安支行</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60" w:leftChars="1" w:hanging="358" w:hangingChars="170"/>
        <w:textAlignment w:val="auto"/>
        <w:rPr>
          <w:rFonts w:ascii="宋体" w:hAnsi="宋体" w:eastAsia="宋体"/>
          <w:b/>
          <w:snapToGrid w:val="0"/>
          <w:color w:val="auto"/>
          <w:sz w:val="21"/>
          <w:szCs w:val="21"/>
        </w:rPr>
      </w:pP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60" w:leftChars="1" w:hanging="358" w:hangingChars="170"/>
        <w:textAlignment w:val="auto"/>
        <w:rPr>
          <w:rFonts w:ascii="宋体" w:hAnsi="宋体" w:eastAsia="宋体"/>
          <w:b/>
          <w:snapToGrid w:val="0"/>
          <w:color w:val="auto"/>
          <w:sz w:val="21"/>
          <w:szCs w:val="21"/>
        </w:rPr>
      </w:pPr>
      <w:r>
        <w:rPr>
          <w:rFonts w:hint="eastAsia" w:ascii="宋体" w:hAnsi="宋体" w:eastAsia="宋体"/>
          <w:b/>
          <w:snapToGrid w:val="0"/>
          <w:color w:val="auto"/>
          <w:sz w:val="21"/>
          <w:szCs w:val="21"/>
        </w:rPr>
        <w:t>四、提交投标文件截止时间、开标时间和地点</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2" w:firstLineChars="201"/>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2024年</w:t>
      </w:r>
      <w:r>
        <w:rPr>
          <w:rFonts w:hint="eastAsia" w:ascii="宋体" w:hAnsi="宋体" w:eastAsia="宋体"/>
          <w:snapToGrid w:val="0"/>
          <w:color w:val="auto"/>
          <w:sz w:val="21"/>
          <w:szCs w:val="21"/>
          <w:u w:val="single"/>
          <w:lang w:val="en-US" w:eastAsia="zh-CN"/>
        </w:rPr>
        <w:t>04</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22</w:t>
      </w:r>
      <w:r>
        <w:rPr>
          <w:rFonts w:hint="eastAsia" w:ascii="宋体" w:hAnsi="宋体" w:eastAsia="宋体"/>
          <w:snapToGrid w:val="0"/>
          <w:color w:val="auto"/>
          <w:sz w:val="21"/>
          <w:szCs w:val="21"/>
          <w:u w:val="single"/>
        </w:rPr>
        <w:t>日10点00分（北京时间）</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2" w:firstLineChars="201"/>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深圳市福田区民田路171号新华保险大厦903</w:t>
      </w:r>
      <w:r>
        <w:rPr>
          <w:rFonts w:hint="eastAsia" w:ascii="宋体" w:hAnsi="宋体" w:eastAsia="宋体"/>
          <w:snapToGrid w:val="0"/>
          <w:color w:val="auto"/>
          <w:sz w:val="21"/>
          <w:szCs w:val="21"/>
        </w:rPr>
        <w:t>深圳市中正招标有限公司会议室</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59" w:leftChars="171"/>
        <w:textAlignment w:val="auto"/>
        <w:rPr>
          <w:rFonts w:ascii="宋体" w:hAnsi="宋体" w:eastAsia="宋体"/>
          <w:snapToGrid w:val="0"/>
          <w:color w:val="auto"/>
          <w:sz w:val="21"/>
          <w:szCs w:val="21"/>
        </w:rPr>
      </w:pP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60" w:leftChars="1" w:hanging="358" w:hangingChars="170"/>
        <w:textAlignment w:val="auto"/>
        <w:rPr>
          <w:rFonts w:ascii="宋体" w:hAnsi="宋体" w:eastAsia="宋体"/>
          <w:b/>
          <w:snapToGrid w:val="0"/>
          <w:color w:val="auto"/>
          <w:sz w:val="21"/>
          <w:szCs w:val="21"/>
        </w:rPr>
      </w:pPr>
      <w:r>
        <w:rPr>
          <w:rFonts w:hint="eastAsia" w:ascii="宋体" w:hAnsi="宋体" w:eastAsia="宋体"/>
          <w:b/>
          <w:snapToGrid w:val="0"/>
          <w:color w:val="auto"/>
          <w:sz w:val="21"/>
          <w:szCs w:val="21"/>
        </w:rPr>
        <w:t>五、公告期限</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59" w:leftChars="171" w:firstLine="65" w:firstLineChars="31"/>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自本公告发布之日起5个工作日。</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59" w:leftChars="171"/>
        <w:textAlignment w:val="auto"/>
        <w:rPr>
          <w:rFonts w:ascii="宋体" w:hAnsi="宋体" w:eastAsia="宋体"/>
          <w:snapToGrid w:val="0"/>
          <w:color w:val="auto"/>
          <w:sz w:val="21"/>
          <w:szCs w:val="21"/>
        </w:rPr>
      </w:pP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60" w:leftChars="1" w:hanging="358" w:hangingChars="170"/>
        <w:textAlignment w:val="auto"/>
        <w:rPr>
          <w:rFonts w:ascii="宋体" w:hAnsi="宋体" w:eastAsia="宋体"/>
          <w:b/>
          <w:snapToGrid w:val="0"/>
          <w:color w:val="auto"/>
          <w:sz w:val="21"/>
          <w:szCs w:val="21"/>
        </w:rPr>
      </w:pPr>
      <w:r>
        <w:rPr>
          <w:rFonts w:hint="eastAsia" w:ascii="宋体" w:hAnsi="宋体" w:eastAsia="宋体"/>
          <w:b/>
          <w:snapToGrid w:val="0"/>
          <w:color w:val="auto"/>
          <w:sz w:val="21"/>
          <w:szCs w:val="21"/>
        </w:rPr>
        <w:t>六、其他补充事宜</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4" w:firstLineChars="202"/>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1、本项目需要落实的政府采购政策：《关于印发&lt;政府采购促进中小企业发展管理办法&gt;的通知》(财库〔2020〕46号)、《关于政府采购支持监狱企业发展有关问题的通知》</w:t>
      </w:r>
      <w:r>
        <w:rPr>
          <w:rFonts w:ascii="宋体" w:hAnsi="宋体" w:eastAsia="宋体"/>
          <w:snapToGrid w:val="0"/>
          <w:color w:val="auto"/>
          <w:sz w:val="21"/>
          <w:szCs w:val="21"/>
        </w:rPr>
        <w:t>(</w:t>
      </w:r>
      <w:r>
        <w:rPr>
          <w:rFonts w:hint="eastAsia" w:ascii="宋体" w:hAnsi="宋体" w:eastAsia="宋体"/>
          <w:snapToGrid w:val="0"/>
          <w:color w:val="auto"/>
          <w:sz w:val="21"/>
          <w:szCs w:val="21"/>
        </w:rPr>
        <w:t>财库〔</w:t>
      </w:r>
      <w:r>
        <w:rPr>
          <w:rFonts w:ascii="宋体" w:hAnsi="宋体" w:eastAsia="宋体"/>
          <w:snapToGrid w:val="0"/>
          <w:color w:val="auto"/>
          <w:sz w:val="21"/>
          <w:szCs w:val="21"/>
        </w:rPr>
        <w:t>2014</w:t>
      </w:r>
      <w:r>
        <w:rPr>
          <w:rFonts w:hint="eastAsia" w:ascii="宋体" w:hAnsi="宋体" w:eastAsia="宋体"/>
          <w:snapToGrid w:val="0"/>
          <w:color w:val="auto"/>
          <w:sz w:val="21"/>
          <w:szCs w:val="21"/>
        </w:rPr>
        <w:t>〕</w:t>
      </w:r>
      <w:r>
        <w:rPr>
          <w:rFonts w:ascii="宋体" w:hAnsi="宋体" w:eastAsia="宋体"/>
          <w:snapToGrid w:val="0"/>
          <w:color w:val="auto"/>
          <w:sz w:val="21"/>
          <w:szCs w:val="21"/>
        </w:rPr>
        <w:t>68</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、《关于促进残疾人就业政府采购政策的通知》（财库〔</w:t>
      </w:r>
      <w:r>
        <w:rPr>
          <w:rFonts w:ascii="宋体" w:hAnsi="宋体" w:eastAsia="宋体"/>
          <w:snapToGrid w:val="0"/>
          <w:color w:val="auto"/>
          <w:sz w:val="21"/>
          <w:szCs w:val="21"/>
        </w:rPr>
        <w:t>2017</w:t>
      </w:r>
      <w:r>
        <w:rPr>
          <w:rFonts w:hint="eastAsia" w:ascii="宋体" w:hAnsi="宋体" w:eastAsia="宋体"/>
          <w:snapToGrid w:val="0"/>
          <w:color w:val="auto"/>
          <w:sz w:val="21"/>
          <w:szCs w:val="21"/>
        </w:rPr>
        <w:t>〕</w:t>
      </w:r>
      <w:r>
        <w:rPr>
          <w:rFonts w:ascii="宋体" w:hAnsi="宋体" w:eastAsia="宋体"/>
          <w:snapToGrid w:val="0"/>
          <w:color w:val="auto"/>
          <w:sz w:val="21"/>
          <w:szCs w:val="21"/>
        </w:rPr>
        <w:t>141</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4" w:firstLineChars="202"/>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2、本项目相关公告在以下媒体发布：</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4" w:firstLineChars="202"/>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1）深圳公共资源交易中心网站（www.szzfcg.cn）；</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4" w:firstLineChars="202"/>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2）深圳市中正招标网（</w:t>
      </w:r>
      <w:r>
        <w:rPr>
          <w:rFonts w:ascii="宋体" w:hAnsi="宋体" w:eastAsia="宋体"/>
          <w:snapToGrid w:val="0"/>
          <w:color w:val="auto"/>
          <w:sz w:val="21"/>
          <w:szCs w:val="21"/>
        </w:rPr>
        <w:t>www.szzzt.com</w:t>
      </w:r>
      <w:r>
        <w:rPr>
          <w:rFonts w:hint="eastAsia" w:ascii="宋体" w:hAnsi="宋体" w:eastAsia="宋体"/>
          <w:snapToGrid w:val="0"/>
          <w:color w:val="auto"/>
          <w:sz w:val="21"/>
          <w:szCs w:val="21"/>
        </w:rPr>
        <w:t>）。</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4" w:firstLineChars="202"/>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相关公告在以上媒体上公布之日即视为有效送达，不再另行通知。</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firstLine="426" w:firstLineChars="202"/>
        <w:textAlignment w:val="auto"/>
        <w:rPr>
          <w:rFonts w:ascii="宋体" w:hAnsi="宋体" w:eastAsia="宋体"/>
          <w:b/>
          <w:snapToGrid w:val="0"/>
          <w:color w:val="auto"/>
          <w:sz w:val="21"/>
          <w:szCs w:val="21"/>
        </w:rPr>
      </w:pPr>
      <w:r>
        <w:rPr>
          <w:rFonts w:hint="eastAsia" w:ascii="宋体" w:hAnsi="宋体" w:eastAsia="宋体"/>
          <w:b/>
          <w:snapToGrid w:val="0"/>
          <w:color w:val="auto"/>
          <w:sz w:val="21"/>
          <w:szCs w:val="21"/>
        </w:rPr>
        <w:t>3、本项目投标人可以通过快递方式在提交投标文件截止时间前将投标文件邮寄至我司，送达时间以我司工作人员签收时间为准。快递箱封面需用A4纸清晰标注项目名称、项目编号和投标人名称；投标人自行承担因寄错地址、逾期送达、未按照招标文件要求密封或者邮寄过程中出现包装密封破损等可能导致投标无效情形的责任与后果。投标人未参加开标会的，视同认可开标结果。</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59" w:leftChars="171" w:firstLine="491" w:firstLineChars="234"/>
        <w:textAlignment w:val="auto"/>
        <w:rPr>
          <w:rFonts w:ascii="宋体" w:hAnsi="宋体" w:eastAsia="宋体"/>
          <w:snapToGrid w:val="0"/>
          <w:color w:val="auto"/>
          <w:sz w:val="21"/>
          <w:szCs w:val="21"/>
        </w:rPr>
      </w:pP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60" w:leftChars="1" w:hanging="358" w:hangingChars="170"/>
        <w:textAlignment w:val="auto"/>
        <w:rPr>
          <w:rFonts w:ascii="宋体" w:hAnsi="宋体" w:eastAsia="宋体"/>
          <w:b/>
          <w:snapToGrid w:val="0"/>
          <w:color w:val="auto"/>
          <w:sz w:val="21"/>
          <w:szCs w:val="21"/>
        </w:rPr>
      </w:pPr>
      <w:r>
        <w:rPr>
          <w:rFonts w:hint="eastAsia" w:ascii="宋体" w:hAnsi="宋体" w:eastAsia="宋体"/>
          <w:b/>
          <w:snapToGrid w:val="0"/>
          <w:color w:val="auto"/>
          <w:sz w:val="21"/>
          <w:szCs w:val="21"/>
        </w:rPr>
        <w:t>七、凡对本次招标提出询问，请按</w:t>
      </w:r>
      <w:r>
        <w:rPr>
          <w:rFonts w:ascii="宋体" w:hAnsi="宋体" w:eastAsia="宋体"/>
          <w:b/>
          <w:snapToGrid w:val="0"/>
          <w:color w:val="auto"/>
          <w:sz w:val="21"/>
          <w:szCs w:val="21"/>
        </w:rPr>
        <w:t>以下方式</w:t>
      </w:r>
      <w:r>
        <w:rPr>
          <w:rFonts w:hint="eastAsia" w:ascii="宋体" w:hAnsi="宋体" w:eastAsia="宋体"/>
          <w:b/>
          <w:snapToGrid w:val="0"/>
          <w:color w:val="auto"/>
          <w:sz w:val="21"/>
          <w:szCs w:val="21"/>
        </w:rPr>
        <w:t>联系。</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59" w:leftChars="171" w:firstLine="65" w:firstLineChars="31"/>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1、采购人信息</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59" w:leftChars="171" w:firstLine="65" w:firstLineChars="31"/>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名称：深圳市质量安全检验检测研究院</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59" w:leftChars="171" w:firstLine="65" w:firstLineChars="31"/>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地址：深圳市南山区西丽街道茶光路1085号</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59" w:leftChars="171" w:firstLine="65" w:firstLineChars="31"/>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联系方式：张工，0755-82286363</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59" w:leftChars="171" w:firstLine="65" w:firstLineChars="31"/>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2、采购代理机构信息</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59" w:leftChars="171" w:firstLine="65" w:firstLineChars="31"/>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名称：深圳市中正招标有限公司</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59" w:leftChars="171" w:firstLine="65" w:firstLineChars="31"/>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地址：深圳市福田区民田路171号新华保险大厦903</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59" w:leftChars="171" w:firstLine="65" w:firstLineChars="31"/>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联系方式：李先生，0755-83026699</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59" w:leftChars="171" w:firstLine="65" w:firstLineChars="31"/>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3、项目</w:t>
      </w:r>
      <w:r>
        <w:rPr>
          <w:rFonts w:ascii="宋体" w:hAnsi="宋体" w:eastAsia="宋体"/>
          <w:snapToGrid w:val="0"/>
          <w:color w:val="auto"/>
          <w:sz w:val="21"/>
          <w:szCs w:val="21"/>
        </w:rPr>
        <w:t>联系方式</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59" w:leftChars="171" w:firstLine="65" w:firstLineChars="31"/>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项目联系人：李先生</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59" w:leftChars="171" w:firstLine="65" w:firstLineChars="31"/>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电话：0755-83026699</w:t>
      </w:r>
    </w:p>
    <w:p>
      <w:pPr>
        <w:keepNext w:val="0"/>
        <w:keepLines w:val="0"/>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360" w:lineRule="auto"/>
        <w:ind w:left="5759" w:leftChars="2628" w:hanging="240" w:hangingChars="100"/>
        <w:jc w:val="right"/>
        <w:textAlignment w:val="auto"/>
        <w:rPr>
          <w:rFonts w:ascii="宋体" w:hAnsi="宋体"/>
          <w:snapToGrid w:val="0"/>
          <w:kern w:val="0"/>
          <w:sz w:val="24"/>
        </w:rPr>
      </w:pPr>
      <w:r>
        <w:rPr>
          <w:rFonts w:hint="eastAsia" w:ascii="宋体" w:hAnsi="宋体"/>
          <w:snapToGrid w:val="0"/>
          <w:kern w:val="0"/>
          <w:sz w:val="24"/>
        </w:rPr>
        <w:t>深圳市中正招标有限公司</w:t>
      </w:r>
    </w:p>
    <w:p>
      <w:pPr>
        <w:keepNext w:val="0"/>
        <w:keepLines w:val="0"/>
        <w:pageBreakBefore w:val="0"/>
        <w:widowControl w:val="0"/>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val="0"/>
        <w:snapToGrid w:val="0"/>
        <w:spacing w:line="360" w:lineRule="auto"/>
        <w:ind w:left="5758" w:leftChars="2742" w:firstLine="480" w:firstLineChars="200"/>
        <w:jc w:val="right"/>
        <w:textAlignment w:val="auto"/>
      </w:pPr>
      <w:r>
        <w:rPr>
          <w:rFonts w:ascii="宋体" w:hAnsi="宋体"/>
          <w:snapToGrid w:val="0"/>
          <w:kern w:val="0"/>
          <w:sz w:val="24"/>
        </w:rPr>
        <w:t>2024年</w:t>
      </w:r>
      <w:r>
        <w:rPr>
          <w:rFonts w:hint="eastAsia" w:ascii="宋体" w:hAnsi="宋体"/>
          <w:snapToGrid w:val="0"/>
          <w:kern w:val="0"/>
          <w:sz w:val="24"/>
          <w:lang w:val="en-US" w:eastAsia="zh-CN"/>
        </w:rPr>
        <w:t>04</w:t>
      </w:r>
      <w:r>
        <w:rPr>
          <w:rFonts w:ascii="宋体" w:hAnsi="宋体"/>
          <w:snapToGrid w:val="0"/>
          <w:kern w:val="0"/>
          <w:sz w:val="24"/>
        </w:rPr>
        <w:t>月</w:t>
      </w:r>
      <w:r>
        <w:rPr>
          <w:rFonts w:hint="eastAsia" w:ascii="宋体" w:hAnsi="宋体"/>
          <w:snapToGrid w:val="0"/>
          <w:kern w:val="0"/>
          <w:sz w:val="24"/>
          <w:lang w:val="en-US" w:eastAsia="zh-CN"/>
        </w:rPr>
        <w:t>11</w:t>
      </w:r>
      <w:r>
        <w:rPr>
          <w:rFonts w:hint="eastAsia" w:ascii="宋体" w:hAnsi="宋体"/>
          <w:snapToGrid w:val="0"/>
          <w:kern w:val="0"/>
          <w:sz w:val="24"/>
        </w:rPr>
        <w:t>日</w:t>
      </w:r>
      <w:bookmarkEnd w:id="110"/>
    </w:p>
    <w:p>
      <w:pPr>
        <w:pStyle w:val="346"/>
      </w:pPr>
    </w:p>
    <w:p>
      <w:pPr>
        <w:pStyle w:val="2"/>
      </w:pPr>
      <w:bookmarkStart w:id="1" w:name="_Toc135293160"/>
      <w:r>
        <w:rPr>
          <w:rFonts w:hint="eastAsia"/>
        </w:rPr>
        <w:t>第二章  项目需求</w:t>
      </w:r>
      <w:bookmarkEnd w:id="1"/>
    </w:p>
    <w:p>
      <w:pPr>
        <w:spacing w:after="156" w:afterLines="50" w:line="360" w:lineRule="auto"/>
        <w:ind w:left="2"/>
        <w:jc w:val="center"/>
        <w:rPr>
          <w:rFonts w:ascii="宋体" w:hAnsi="宋体"/>
          <w:b/>
          <w:sz w:val="24"/>
        </w:rPr>
      </w:pPr>
      <w:r>
        <w:rPr>
          <w:rFonts w:hint="eastAsia" w:ascii="宋体" w:hAnsi="宋体"/>
          <w:b/>
          <w:sz w:val="24"/>
        </w:rPr>
        <w:t>特别说明</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1、本章项目需求中所出现的工艺、材料、设备或参照的品牌等仅为方便描述而没有限制性，投标人可以在其提供的文件资料中选用替代标准，但这些替代标准要优于或相当于项目需求中要求的标准。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2、项目需求中要求提供证明材料的，投标文件需提供相应证明材料复印件或扫描件或截图等（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3、投标人提供证书或检测报告等证明材料的，颁发证书、出具报告的机构须是合法设立的机构，且具有颁发相应证书或者出具相应报告的资质。</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4、加注▲的条款为重要条款要求，如不满足将按照第四章“评标标准”进行扣分。</w:t>
      </w:r>
    </w:p>
    <w:p>
      <w:pPr>
        <w:autoSpaceDE w:val="0"/>
        <w:autoSpaceDN w:val="0"/>
        <w:adjustRightInd w:val="0"/>
        <w:spacing w:line="360" w:lineRule="auto"/>
        <w:ind w:firstLine="482" w:firstLineChars="200"/>
        <w:jc w:val="left"/>
        <w:rPr>
          <w:rFonts w:ascii="仿宋_GB2312" w:eastAsia="仿宋_GB2312"/>
          <w:b/>
          <w:sz w:val="24"/>
        </w:rPr>
      </w:pPr>
      <w:r>
        <w:rPr>
          <w:rFonts w:hint="eastAsia" w:ascii="仿宋_GB2312" w:eastAsia="仿宋_GB2312"/>
          <w:b/>
          <w:sz w:val="24"/>
          <w:highlight w:val="yellow"/>
        </w:rPr>
        <w:t>5、加注★的条款为不可负偏离条款，任一项未响应或不满足要求的，将导致投标无效。</w:t>
      </w:r>
    </w:p>
    <w:p>
      <w:pPr>
        <w:pStyle w:val="321"/>
        <w:ind w:firstLine="0" w:firstLineChars="0"/>
        <w:rPr>
          <w:b/>
        </w:rPr>
      </w:pPr>
    </w:p>
    <w:p>
      <w:pPr>
        <w:pStyle w:val="321"/>
        <w:ind w:firstLine="0" w:firstLineChars="0"/>
        <w:rPr>
          <w:b/>
        </w:rPr>
      </w:pPr>
      <w:r>
        <w:rPr>
          <w:rFonts w:hint="eastAsia"/>
          <w:b/>
        </w:rPr>
        <w:t>一、项目概况</w:t>
      </w:r>
    </w:p>
    <w:p>
      <w:pPr>
        <w:pStyle w:val="255"/>
        <w:spacing w:before="156"/>
        <w:ind w:firstLine="0" w:firstLineChars="0"/>
        <w:rPr>
          <w:rFonts w:asciiTheme="minorEastAsia" w:hAnsiTheme="minorEastAsia" w:eastAsiaTheme="minorEastAsia"/>
          <w:b/>
        </w:rPr>
      </w:pPr>
      <w:r>
        <w:rPr>
          <w:rFonts w:hint="eastAsia" w:asciiTheme="minorEastAsia" w:hAnsiTheme="minorEastAsia" w:eastAsiaTheme="minorEastAsia"/>
          <w:b/>
        </w:rPr>
        <w:t>（一）采购需求</w:t>
      </w:r>
    </w:p>
    <w:tbl>
      <w:tblPr>
        <w:tblStyle w:val="50"/>
        <w:tblW w:w="9796" w:type="dxa"/>
        <w:tblInd w:w="0" w:type="dxa"/>
        <w:tblLayout w:type="fixed"/>
        <w:tblCellMar>
          <w:top w:w="15" w:type="dxa"/>
          <w:left w:w="15" w:type="dxa"/>
          <w:bottom w:w="15" w:type="dxa"/>
          <w:right w:w="15" w:type="dxa"/>
        </w:tblCellMar>
      </w:tblPr>
      <w:tblGrid>
        <w:gridCol w:w="866"/>
        <w:gridCol w:w="3685"/>
        <w:gridCol w:w="921"/>
        <w:gridCol w:w="922"/>
        <w:gridCol w:w="1701"/>
        <w:gridCol w:w="1701"/>
      </w:tblGrid>
      <w:tr>
        <w:tblPrEx>
          <w:tblCellMar>
            <w:top w:w="15" w:type="dxa"/>
            <w:left w:w="15" w:type="dxa"/>
            <w:bottom w:w="15" w:type="dxa"/>
            <w:right w:w="15" w:type="dxa"/>
          </w:tblCellMar>
        </w:tblPrEx>
        <w:trPr>
          <w:trHeight w:val="689" w:hRule="atLeast"/>
        </w:trPr>
        <w:tc>
          <w:tcPr>
            <w:tcW w:w="866" w:type="dxa"/>
            <w:tcBorders>
              <w:top w:val="single" w:color="000000" w:sz="4" w:space="0"/>
              <w:left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序号</w:t>
            </w:r>
          </w:p>
        </w:tc>
        <w:tc>
          <w:tcPr>
            <w:tcW w:w="36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color w:val="FF0000"/>
                <w:szCs w:val="21"/>
              </w:rPr>
            </w:pPr>
            <w:r>
              <w:rPr>
                <w:rFonts w:hint="eastAsia" w:ascii="宋体" w:hAnsi="宋体" w:cs="宋体"/>
                <w:b/>
                <w:color w:val="FF0000"/>
                <w:szCs w:val="21"/>
              </w:rPr>
              <w:t>标的名称</w:t>
            </w:r>
          </w:p>
        </w:tc>
        <w:tc>
          <w:tcPr>
            <w:tcW w:w="92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数量</w:t>
            </w:r>
          </w:p>
        </w:tc>
        <w:tc>
          <w:tcPr>
            <w:tcW w:w="9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单位</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采购预算金额</w:t>
            </w:r>
          </w:p>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（人民币元）</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备注</w:t>
            </w:r>
          </w:p>
        </w:tc>
      </w:tr>
      <w:tr>
        <w:tblPrEx>
          <w:tblCellMar>
            <w:top w:w="15" w:type="dxa"/>
            <w:left w:w="15" w:type="dxa"/>
            <w:bottom w:w="15" w:type="dxa"/>
            <w:right w:w="15" w:type="dxa"/>
          </w:tblCellMar>
        </w:tblPrEx>
        <w:trPr>
          <w:trHeight w:val="799" w:hRule="atLeast"/>
        </w:trPr>
        <w:tc>
          <w:tcPr>
            <w:tcW w:w="86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rPr>
              <w:t>1</w:t>
            </w:r>
          </w:p>
        </w:tc>
        <w:tc>
          <w:tcPr>
            <w:tcW w:w="36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hint="eastAsia" w:ascii="宋体" w:hAnsi="宋体" w:eastAsia="宋体" w:cs="宋体"/>
                <w:szCs w:val="21"/>
                <w:lang w:eastAsia="zh-CN"/>
              </w:rPr>
            </w:pPr>
            <w:r>
              <w:rPr>
                <w:rFonts w:hint="eastAsia" w:ascii="宋体" w:hAnsi="宋体"/>
                <w:snapToGrid w:val="0"/>
                <w:szCs w:val="21"/>
                <w:lang w:eastAsia="zh-CN"/>
              </w:rPr>
              <w:t>狂犬病免疫效价监测委托业务</w:t>
            </w:r>
          </w:p>
        </w:tc>
        <w:tc>
          <w:tcPr>
            <w:tcW w:w="92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1</w:t>
            </w:r>
          </w:p>
        </w:tc>
        <w:tc>
          <w:tcPr>
            <w:tcW w:w="9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项</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lang w:val="en-US" w:eastAsia="zh-CN"/>
              </w:rPr>
              <w:t>300</w:t>
            </w:r>
            <w:r>
              <w:rPr>
                <w:rFonts w:hint="eastAsia" w:ascii="宋体" w:hAnsi="宋体" w:cs="宋体"/>
                <w:szCs w:val="21"/>
              </w:rPr>
              <w:t>,</w:t>
            </w:r>
            <w:r>
              <w:rPr>
                <w:rFonts w:ascii="宋体" w:hAnsi="宋体" w:cs="宋体"/>
                <w:szCs w:val="21"/>
              </w:rPr>
              <w:t>000.00</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无</w:t>
            </w:r>
          </w:p>
        </w:tc>
      </w:tr>
    </w:tbl>
    <w:p>
      <w:pPr>
        <w:pStyle w:val="506"/>
        <w:wordWrap/>
        <w:spacing w:afterLines="0" w:line="360" w:lineRule="auto"/>
        <w:ind w:firstLine="420"/>
        <w:rPr>
          <w:rFonts w:cs="Times New Roman"/>
          <w:snapToGrid/>
          <w:spacing w:val="0"/>
          <w:sz w:val="21"/>
          <w:szCs w:val="21"/>
        </w:rPr>
      </w:pPr>
    </w:p>
    <w:p>
      <w:pPr>
        <w:pStyle w:val="321"/>
        <w:ind w:firstLine="0" w:firstLineChars="0"/>
        <w:rPr>
          <w:b/>
        </w:rPr>
      </w:pPr>
      <w:r>
        <w:rPr>
          <w:rFonts w:hint="eastAsia"/>
          <w:b/>
        </w:rPr>
        <w:t>二、项目服务要求</w:t>
      </w:r>
    </w:p>
    <w:p>
      <w:pPr>
        <w:pStyle w:val="506"/>
        <w:wordWrap/>
        <w:snapToGrid w:val="0"/>
        <w:spacing w:afterLines="0" w:line="360" w:lineRule="auto"/>
        <w:ind w:firstLine="436"/>
        <w:rPr>
          <w:rFonts w:cs="Times New Roman"/>
          <w:snapToGrid/>
          <w:spacing w:val="0"/>
          <w:sz w:val="21"/>
          <w:szCs w:val="21"/>
        </w:rPr>
      </w:pPr>
      <w:r>
        <w:rPr>
          <w:rFonts w:hint="eastAsia" w:cs="Times New Roman"/>
          <w:snapToGrid/>
          <w:spacing w:val="0"/>
          <w:sz w:val="21"/>
          <w:szCs w:val="21"/>
          <w:lang w:eastAsia="zh-CN"/>
        </w:rPr>
        <w:t>（</w:t>
      </w:r>
      <w:r>
        <w:rPr>
          <w:rFonts w:hint="eastAsia" w:cs="Times New Roman"/>
          <w:snapToGrid/>
          <w:spacing w:val="0"/>
          <w:sz w:val="21"/>
          <w:szCs w:val="21"/>
          <w:lang w:val="en-US" w:eastAsia="zh-CN"/>
        </w:rPr>
        <w:t>一</w:t>
      </w:r>
      <w:r>
        <w:rPr>
          <w:rFonts w:hint="eastAsia" w:cs="Times New Roman"/>
          <w:snapToGrid/>
          <w:spacing w:val="0"/>
          <w:sz w:val="21"/>
          <w:szCs w:val="21"/>
          <w:lang w:eastAsia="zh-CN"/>
        </w:rPr>
        <w:t>）</w:t>
      </w:r>
      <w:r>
        <w:rPr>
          <w:rFonts w:hint="eastAsia" w:cs="Times New Roman"/>
          <w:snapToGrid/>
          <w:spacing w:val="0"/>
          <w:sz w:val="21"/>
          <w:szCs w:val="21"/>
        </w:rPr>
        <w:t>开展狂犬病抗体检测（该项内容允许与其他实验室合作）：</w:t>
      </w:r>
    </w:p>
    <w:p>
      <w:pPr>
        <w:pStyle w:val="506"/>
        <w:wordWrap/>
        <w:snapToGrid w:val="0"/>
        <w:spacing w:afterLines="0" w:line="360" w:lineRule="auto"/>
        <w:ind w:firstLine="436"/>
        <w:rPr>
          <w:rFonts w:cs="Times New Roman"/>
          <w:snapToGrid/>
          <w:spacing w:val="0"/>
          <w:sz w:val="21"/>
          <w:szCs w:val="21"/>
        </w:rPr>
      </w:pPr>
      <w:r>
        <w:rPr>
          <w:rFonts w:cs="Times New Roman"/>
          <w:snapToGrid/>
          <w:spacing w:val="0"/>
          <w:sz w:val="21"/>
          <w:szCs w:val="21"/>
        </w:rPr>
        <w:t>1、样品数量：600份；</w:t>
      </w:r>
    </w:p>
    <w:p>
      <w:pPr>
        <w:pStyle w:val="506"/>
        <w:wordWrap/>
        <w:snapToGrid w:val="0"/>
        <w:spacing w:afterLines="0" w:line="360" w:lineRule="auto"/>
        <w:ind w:firstLine="436"/>
        <w:rPr>
          <w:rFonts w:cs="Times New Roman"/>
          <w:snapToGrid/>
          <w:spacing w:val="0"/>
          <w:sz w:val="21"/>
          <w:szCs w:val="21"/>
        </w:rPr>
      </w:pPr>
      <w:r>
        <w:rPr>
          <w:rFonts w:cs="Times New Roman"/>
          <w:snapToGrid/>
          <w:spacing w:val="0"/>
          <w:sz w:val="21"/>
          <w:szCs w:val="21"/>
        </w:rPr>
        <w:t>2、时间：上半年500份，下半年100份；</w:t>
      </w:r>
    </w:p>
    <w:p>
      <w:pPr>
        <w:pStyle w:val="506"/>
        <w:wordWrap/>
        <w:snapToGrid w:val="0"/>
        <w:spacing w:afterLines="0" w:line="360" w:lineRule="auto"/>
        <w:ind w:firstLine="436"/>
        <w:rPr>
          <w:rFonts w:cs="Times New Roman"/>
          <w:snapToGrid/>
          <w:spacing w:val="0"/>
          <w:sz w:val="21"/>
          <w:szCs w:val="21"/>
        </w:rPr>
      </w:pPr>
      <w:r>
        <w:rPr>
          <w:rFonts w:cs="Times New Roman"/>
          <w:snapToGrid/>
          <w:spacing w:val="0"/>
          <w:sz w:val="21"/>
          <w:szCs w:val="21"/>
        </w:rPr>
        <w:t>3、检测要求：</w:t>
      </w:r>
      <w:r>
        <w:rPr>
          <w:rFonts w:hint="eastAsia" w:cs="Times New Roman"/>
          <w:snapToGrid/>
          <w:spacing w:val="0"/>
          <w:sz w:val="21"/>
          <w:szCs w:val="21"/>
        </w:rPr>
        <w:t>狂犬病病毒抗体检测（</w:t>
      </w:r>
      <w:r>
        <w:rPr>
          <w:rFonts w:cs="Times New Roman"/>
          <w:snapToGrid/>
          <w:spacing w:val="0"/>
          <w:sz w:val="21"/>
          <w:szCs w:val="21"/>
        </w:rPr>
        <w:t>FAVN试验）；</w:t>
      </w:r>
    </w:p>
    <w:p>
      <w:pPr>
        <w:pStyle w:val="506"/>
        <w:wordWrap/>
        <w:snapToGrid w:val="0"/>
        <w:spacing w:afterLines="0" w:line="360" w:lineRule="auto"/>
        <w:ind w:firstLine="436"/>
        <w:rPr>
          <w:rFonts w:cs="Times New Roman"/>
          <w:snapToGrid/>
          <w:spacing w:val="0"/>
          <w:sz w:val="21"/>
          <w:szCs w:val="21"/>
        </w:rPr>
      </w:pPr>
      <w:r>
        <w:rPr>
          <w:rFonts w:cs="Times New Roman"/>
          <w:snapToGrid/>
          <w:spacing w:val="0"/>
          <w:sz w:val="21"/>
          <w:szCs w:val="21"/>
        </w:rPr>
        <w:t>4、检测结果反馈方式，提供</w:t>
      </w:r>
      <w:r>
        <w:rPr>
          <w:rFonts w:hint="eastAsia" w:cs="Times New Roman"/>
          <w:snapToGrid/>
          <w:spacing w:val="0"/>
          <w:sz w:val="21"/>
          <w:szCs w:val="21"/>
        </w:rPr>
        <w:t>具有CNAS认证实验室的</w:t>
      </w:r>
      <w:r>
        <w:rPr>
          <w:rFonts w:cs="Times New Roman"/>
          <w:snapToGrid/>
          <w:spacing w:val="0"/>
          <w:sz w:val="21"/>
          <w:szCs w:val="21"/>
        </w:rPr>
        <w:t>检测报告，并在2024年12月</w:t>
      </w:r>
      <w:r>
        <w:rPr>
          <w:rFonts w:hint="eastAsia" w:cs="Times New Roman"/>
          <w:snapToGrid/>
          <w:spacing w:val="0"/>
          <w:sz w:val="21"/>
          <w:szCs w:val="21"/>
        </w:rPr>
        <w:t>5</w:t>
      </w:r>
      <w:r>
        <w:rPr>
          <w:rFonts w:cs="Times New Roman"/>
          <w:snapToGrid/>
          <w:spacing w:val="0"/>
          <w:sz w:val="21"/>
          <w:szCs w:val="21"/>
        </w:rPr>
        <w:t>日前提供风险评估分析报告。</w:t>
      </w:r>
    </w:p>
    <w:p>
      <w:pPr>
        <w:pStyle w:val="506"/>
        <w:wordWrap/>
        <w:snapToGrid w:val="0"/>
        <w:spacing w:afterLines="0" w:line="360" w:lineRule="auto"/>
        <w:ind w:firstLine="436"/>
        <w:rPr>
          <w:rFonts w:cs="Times New Roman"/>
          <w:snapToGrid/>
          <w:spacing w:val="0"/>
          <w:sz w:val="21"/>
          <w:szCs w:val="21"/>
        </w:rPr>
      </w:pPr>
      <w:r>
        <w:rPr>
          <w:rFonts w:hint="eastAsia" w:cs="Times New Roman"/>
          <w:snapToGrid/>
          <w:spacing w:val="0"/>
          <w:sz w:val="21"/>
          <w:szCs w:val="21"/>
          <w:lang w:eastAsia="zh-CN"/>
        </w:rPr>
        <w:t>（</w:t>
      </w:r>
      <w:r>
        <w:rPr>
          <w:rFonts w:hint="eastAsia" w:cs="Times New Roman"/>
          <w:snapToGrid/>
          <w:spacing w:val="0"/>
          <w:sz w:val="21"/>
          <w:szCs w:val="21"/>
          <w:lang w:val="en-US" w:eastAsia="zh-CN"/>
        </w:rPr>
        <w:t>二</w:t>
      </w:r>
      <w:r>
        <w:rPr>
          <w:rFonts w:hint="eastAsia" w:cs="Times New Roman"/>
          <w:snapToGrid/>
          <w:spacing w:val="0"/>
          <w:sz w:val="21"/>
          <w:szCs w:val="21"/>
          <w:lang w:eastAsia="zh-CN"/>
        </w:rPr>
        <w:t>）</w:t>
      </w:r>
      <w:r>
        <w:rPr>
          <w:rFonts w:hint="eastAsia" w:cs="Times New Roman"/>
          <w:snapToGrid/>
          <w:spacing w:val="0"/>
          <w:sz w:val="21"/>
          <w:szCs w:val="21"/>
        </w:rPr>
        <w:t>对可能影响免疫效价的人畜共患病——弓形虫进行检测和分析：</w:t>
      </w:r>
    </w:p>
    <w:p>
      <w:pPr>
        <w:pStyle w:val="506"/>
        <w:wordWrap/>
        <w:snapToGrid w:val="0"/>
        <w:spacing w:afterLines="0" w:line="360" w:lineRule="auto"/>
        <w:ind w:firstLine="436"/>
        <w:rPr>
          <w:rFonts w:cs="Times New Roman"/>
          <w:snapToGrid/>
          <w:spacing w:val="0"/>
          <w:sz w:val="21"/>
          <w:szCs w:val="21"/>
        </w:rPr>
      </w:pPr>
      <w:r>
        <w:rPr>
          <w:rFonts w:cs="Times New Roman"/>
          <w:snapToGrid/>
          <w:spacing w:val="0"/>
          <w:sz w:val="21"/>
          <w:szCs w:val="21"/>
        </w:rPr>
        <w:t>1、样品数量：1000份；</w:t>
      </w:r>
    </w:p>
    <w:p>
      <w:pPr>
        <w:pStyle w:val="506"/>
        <w:wordWrap/>
        <w:snapToGrid w:val="0"/>
        <w:spacing w:afterLines="0" w:line="360" w:lineRule="auto"/>
        <w:ind w:firstLine="436"/>
        <w:rPr>
          <w:rFonts w:cs="Times New Roman"/>
          <w:snapToGrid/>
          <w:spacing w:val="0"/>
          <w:sz w:val="21"/>
          <w:szCs w:val="21"/>
        </w:rPr>
      </w:pPr>
      <w:r>
        <w:rPr>
          <w:rFonts w:cs="Times New Roman"/>
          <w:snapToGrid/>
          <w:spacing w:val="0"/>
          <w:sz w:val="21"/>
          <w:szCs w:val="21"/>
        </w:rPr>
        <w:t>2、时间：上半年500份，下半年500份；</w:t>
      </w:r>
    </w:p>
    <w:p>
      <w:pPr>
        <w:pStyle w:val="506"/>
        <w:wordWrap/>
        <w:snapToGrid w:val="0"/>
        <w:spacing w:afterLines="0" w:line="360" w:lineRule="auto"/>
        <w:ind w:firstLine="436"/>
        <w:rPr>
          <w:rFonts w:cs="Times New Roman"/>
          <w:snapToGrid/>
          <w:spacing w:val="0"/>
          <w:sz w:val="21"/>
          <w:szCs w:val="21"/>
        </w:rPr>
      </w:pPr>
      <w:r>
        <w:rPr>
          <w:rFonts w:cs="Times New Roman"/>
          <w:snapToGrid/>
          <w:spacing w:val="0"/>
          <w:sz w:val="21"/>
          <w:szCs w:val="21"/>
        </w:rPr>
        <w:t>3、检测要求：</w:t>
      </w:r>
      <w:r>
        <w:rPr>
          <w:rFonts w:hint="eastAsia" w:cs="Times New Roman"/>
          <w:snapToGrid/>
          <w:spacing w:val="0"/>
          <w:sz w:val="21"/>
          <w:szCs w:val="21"/>
        </w:rPr>
        <w:t>阳性样品采用</w:t>
      </w:r>
      <w:r>
        <w:rPr>
          <w:rFonts w:cs="Times New Roman"/>
          <w:snapToGrid/>
          <w:spacing w:val="0"/>
          <w:sz w:val="21"/>
          <w:szCs w:val="21"/>
        </w:rPr>
        <w:t>PCR</w:t>
      </w:r>
      <w:r>
        <w:rPr>
          <w:rFonts w:hint="eastAsia" w:cs="Times New Roman"/>
          <w:snapToGrid/>
          <w:spacing w:val="0"/>
          <w:sz w:val="21"/>
          <w:szCs w:val="21"/>
        </w:rPr>
        <w:t>进行复核；</w:t>
      </w:r>
    </w:p>
    <w:p>
      <w:pPr>
        <w:pStyle w:val="506"/>
        <w:wordWrap/>
        <w:snapToGrid w:val="0"/>
        <w:spacing w:afterLines="0" w:line="360" w:lineRule="auto"/>
        <w:ind w:firstLine="436"/>
        <w:rPr>
          <w:rFonts w:cs="Times New Roman"/>
          <w:snapToGrid/>
          <w:spacing w:val="0"/>
          <w:sz w:val="21"/>
          <w:szCs w:val="21"/>
        </w:rPr>
      </w:pPr>
      <w:r>
        <w:rPr>
          <w:rFonts w:cs="Times New Roman"/>
          <w:snapToGrid/>
          <w:spacing w:val="0"/>
          <w:sz w:val="21"/>
          <w:szCs w:val="21"/>
        </w:rPr>
        <w:t>4</w:t>
      </w:r>
      <w:r>
        <w:rPr>
          <w:rFonts w:hint="eastAsia" w:cs="Times New Roman"/>
          <w:snapToGrid/>
          <w:spacing w:val="0"/>
          <w:sz w:val="21"/>
          <w:szCs w:val="21"/>
        </w:rPr>
        <w:t>、</w:t>
      </w:r>
      <w:r>
        <w:rPr>
          <w:rFonts w:cs="Times New Roman"/>
          <w:snapToGrid/>
          <w:spacing w:val="0"/>
          <w:sz w:val="21"/>
          <w:szCs w:val="21"/>
        </w:rPr>
        <w:t>在2024年12月</w:t>
      </w:r>
      <w:r>
        <w:rPr>
          <w:rFonts w:hint="eastAsia" w:cs="Times New Roman"/>
          <w:snapToGrid/>
          <w:spacing w:val="0"/>
          <w:sz w:val="21"/>
          <w:szCs w:val="21"/>
        </w:rPr>
        <w:t>5</w:t>
      </w:r>
      <w:r>
        <w:rPr>
          <w:rFonts w:cs="Times New Roman"/>
          <w:snapToGrid/>
          <w:spacing w:val="0"/>
          <w:sz w:val="21"/>
          <w:szCs w:val="21"/>
        </w:rPr>
        <w:t>日前提供检测数据</w:t>
      </w:r>
      <w:r>
        <w:rPr>
          <w:rFonts w:hint="eastAsia" w:cs="Times New Roman"/>
          <w:snapToGrid/>
          <w:spacing w:val="0"/>
          <w:sz w:val="21"/>
          <w:szCs w:val="21"/>
        </w:rPr>
        <w:t>或</w:t>
      </w:r>
      <w:r>
        <w:rPr>
          <w:rFonts w:cs="Times New Roman"/>
          <w:snapToGrid/>
          <w:spacing w:val="0"/>
          <w:sz w:val="21"/>
          <w:szCs w:val="21"/>
        </w:rPr>
        <w:t>报告。</w:t>
      </w:r>
    </w:p>
    <w:p>
      <w:pPr>
        <w:pStyle w:val="321"/>
        <w:ind w:firstLine="0" w:firstLineChars="0"/>
        <w:rPr>
          <w:b/>
        </w:rPr>
      </w:pPr>
    </w:p>
    <w:p>
      <w:pPr>
        <w:pStyle w:val="321"/>
        <w:ind w:firstLine="0" w:firstLineChars="0"/>
        <w:rPr>
          <w:b/>
        </w:rPr>
      </w:pPr>
      <w:r>
        <w:rPr>
          <w:rFonts w:hint="eastAsia"/>
          <w:b/>
        </w:rPr>
        <w:t>三、项目商务要求</w:t>
      </w:r>
    </w:p>
    <w:p>
      <w:pPr>
        <w:pStyle w:val="255"/>
        <w:spacing w:beforeLines="0" w:line="360" w:lineRule="auto"/>
        <w:ind w:firstLine="0" w:firstLineChars="0"/>
        <w:rPr>
          <w:rFonts w:asciiTheme="minorEastAsia" w:hAnsiTheme="minorEastAsia" w:eastAsiaTheme="minorEastAsia"/>
          <w:b/>
          <w:highlight w:val="yellow"/>
        </w:rPr>
      </w:pPr>
      <w:r>
        <w:rPr>
          <w:rFonts w:hint="eastAsia" w:asciiTheme="minorEastAsia" w:hAnsiTheme="minorEastAsia" w:eastAsiaTheme="minorEastAsia"/>
          <w:highlight w:val="yellow"/>
        </w:rPr>
        <w:t>★</w:t>
      </w:r>
      <w:r>
        <w:rPr>
          <w:rFonts w:hint="eastAsia" w:asciiTheme="minorEastAsia" w:hAnsiTheme="minorEastAsia" w:eastAsiaTheme="minorEastAsia"/>
          <w:b/>
          <w:highlight w:val="yellow"/>
        </w:rPr>
        <w:t>（一）服务期限：</w:t>
      </w:r>
    </w:p>
    <w:p>
      <w:pPr>
        <w:pStyle w:val="255"/>
        <w:spacing w:beforeLines="0" w:line="360" w:lineRule="auto"/>
        <w:ind w:firstLine="424" w:firstLineChars="201"/>
        <w:rPr>
          <w:rFonts w:hint="eastAsia" w:asciiTheme="minorEastAsia" w:hAnsiTheme="minorEastAsia" w:eastAsiaTheme="minorEastAsia"/>
          <w:b/>
          <w:highlight w:val="yellow"/>
          <w:lang w:eastAsia="zh-CN"/>
        </w:rPr>
      </w:pPr>
      <w:r>
        <w:rPr>
          <w:rFonts w:hint="eastAsia" w:asciiTheme="minorEastAsia" w:hAnsiTheme="minorEastAsia" w:eastAsiaTheme="minorEastAsia"/>
          <w:b/>
          <w:highlight w:val="yellow"/>
        </w:rPr>
        <w:t>本</w:t>
      </w:r>
      <w:r>
        <w:rPr>
          <w:rFonts w:hint="eastAsia" w:asciiTheme="minorEastAsia" w:hAnsiTheme="minorEastAsia" w:eastAsiaTheme="minorEastAsia"/>
          <w:b/>
          <w:highlight w:val="yellow"/>
          <w:lang w:val="en-US" w:eastAsia="zh-CN"/>
        </w:rPr>
        <w:t>项目</w:t>
      </w:r>
      <w:r>
        <w:rPr>
          <w:rFonts w:hint="eastAsia" w:asciiTheme="minorEastAsia" w:hAnsiTheme="minorEastAsia" w:eastAsiaTheme="minorEastAsia"/>
          <w:b/>
          <w:highlight w:val="yellow"/>
        </w:rPr>
        <w:t>服务期限自合同签订之日起</w:t>
      </w:r>
      <w:r>
        <w:rPr>
          <w:rFonts w:hint="eastAsia" w:asciiTheme="minorEastAsia" w:hAnsiTheme="minorEastAsia" w:eastAsiaTheme="minorEastAsia"/>
          <w:b/>
          <w:highlight w:val="yellow"/>
          <w:lang w:val="en-US" w:eastAsia="zh-CN"/>
        </w:rPr>
        <w:t>至</w:t>
      </w:r>
      <w:r>
        <w:rPr>
          <w:rFonts w:hint="eastAsia" w:asciiTheme="minorEastAsia" w:hAnsiTheme="minorEastAsia" w:eastAsiaTheme="minorEastAsia"/>
          <w:b/>
          <w:highlight w:val="yellow"/>
        </w:rPr>
        <w:t>202</w:t>
      </w:r>
      <w:r>
        <w:rPr>
          <w:rFonts w:asciiTheme="minorEastAsia" w:hAnsiTheme="minorEastAsia" w:eastAsiaTheme="minorEastAsia"/>
          <w:b/>
          <w:highlight w:val="yellow"/>
        </w:rPr>
        <w:t>4</w:t>
      </w:r>
      <w:r>
        <w:rPr>
          <w:rFonts w:hint="eastAsia" w:asciiTheme="minorEastAsia" w:hAnsiTheme="minorEastAsia" w:eastAsiaTheme="minorEastAsia"/>
          <w:b/>
          <w:highlight w:val="yellow"/>
        </w:rPr>
        <w:t>年12月31日。本项目为长期服务项目，合同履行期限最长不得超过三十六个月</w:t>
      </w:r>
      <w:r>
        <w:rPr>
          <w:rFonts w:hint="eastAsia" w:asciiTheme="minorEastAsia" w:hAnsiTheme="minorEastAsia" w:eastAsiaTheme="minorEastAsia"/>
          <w:b/>
          <w:highlight w:val="yellow"/>
          <w:lang w:eastAsia="zh-CN"/>
        </w:rPr>
        <w:t>，</w:t>
      </w:r>
      <w:r>
        <w:rPr>
          <w:rFonts w:hint="eastAsia" w:asciiTheme="minorEastAsia" w:hAnsiTheme="minorEastAsia" w:eastAsiaTheme="minorEastAsia"/>
          <w:b/>
          <w:highlight w:val="yellow"/>
        </w:rPr>
        <w:t>合同一年一签。服务期满后，采购人可根据中标人履约情况确定合同期限是否延长</w:t>
      </w:r>
      <w:r>
        <w:rPr>
          <w:rFonts w:hint="eastAsia" w:asciiTheme="minorEastAsia" w:hAnsiTheme="minorEastAsia" w:eastAsiaTheme="minorEastAsia"/>
          <w:b/>
          <w:highlight w:val="yellow"/>
          <w:lang w:eastAsia="zh-CN"/>
        </w:rPr>
        <w:t>。</w:t>
      </w:r>
    </w:p>
    <w:p>
      <w:pPr>
        <w:pStyle w:val="255"/>
        <w:spacing w:beforeLines="0"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（二）服务地点：</w:t>
      </w:r>
    </w:p>
    <w:p>
      <w:pPr>
        <w:pStyle w:val="255"/>
        <w:spacing w:beforeLines="0" w:line="360" w:lineRule="auto"/>
        <w:ind w:firstLine="424" w:firstLineChars="202"/>
        <w:rPr>
          <w:rFonts w:asciiTheme="minorEastAsia" w:hAnsiTheme="minorEastAsia" w:eastAsiaTheme="minorEastAsia"/>
          <w:b/>
        </w:rPr>
      </w:pPr>
      <w:r>
        <w:rPr>
          <w:rFonts w:hint="eastAsia" w:asciiTheme="minorEastAsia" w:hAnsiTheme="minorEastAsia" w:eastAsiaTheme="minorEastAsia"/>
          <w:bCs/>
        </w:rPr>
        <w:t>采购人指定地点。</w:t>
      </w:r>
    </w:p>
    <w:p>
      <w:pPr>
        <w:pStyle w:val="255"/>
        <w:spacing w:beforeLines="0"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（三）报价要求：</w:t>
      </w:r>
    </w:p>
    <w:p>
      <w:pPr>
        <w:spacing w:line="360" w:lineRule="auto"/>
        <w:ind w:firstLine="420" w:firstLineChars="200"/>
        <w:jc w:val="left"/>
        <w:rPr>
          <w:rFonts w:ascii="宋体" w:hAnsi="宋体"/>
          <w:szCs w:val="21"/>
        </w:rPr>
      </w:pPr>
      <w:r>
        <w:rPr>
          <w:rFonts w:hint="eastAsia" w:ascii="宋体" w:hAnsi="宋体"/>
          <w:szCs w:val="21"/>
        </w:rPr>
        <w:t>（1）本项目服务费采用包干制，应包括服务成本、法定税费和企业的利润。由投标人根据招标文件所提供的资料自行测算投标报价；一经中标，报价总价作为中标人与采购人签定的合同金额，合同期限内不做调整。</w:t>
      </w:r>
    </w:p>
    <w:p>
      <w:pPr>
        <w:spacing w:line="360" w:lineRule="auto"/>
        <w:ind w:firstLine="420" w:firstLineChars="200"/>
        <w:jc w:val="left"/>
        <w:rPr>
          <w:rFonts w:ascii="宋体" w:hAnsi="宋体"/>
          <w:szCs w:val="21"/>
        </w:rPr>
      </w:pPr>
      <w:r>
        <w:rPr>
          <w:rFonts w:hint="eastAsia" w:ascii="宋体" w:hAnsi="宋体"/>
          <w:szCs w:val="21"/>
        </w:rPr>
        <w:t>（2）投标人应当根据本企业的成本自行决定报价，但不得以低于其企业成本的报价投标。</w:t>
      </w:r>
    </w:p>
    <w:p>
      <w:pPr>
        <w:spacing w:line="360" w:lineRule="auto"/>
        <w:ind w:firstLine="420" w:firstLineChars="200"/>
        <w:jc w:val="left"/>
        <w:rPr>
          <w:rFonts w:ascii="宋体" w:hAnsi="宋体"/>
          <w:szCs w:val="21"/>
        </w:rPr>
      </w:pPr>
      <w:r>
        <w:rPr>
          <w:rFonts w:hint="eastAsia" w:ascii="宋体" w:hAnsi="宋体"/>
          <w:szCs w:val="21"/>
        </w:rPr>
        <w:t>（3）投标人的报价不得超过项目预算金额。</w:t>
      </w:r>
    </w:p>
    <w:p>
      <w:pPr>
        <w:spacing w:line="360" w:lineRule="auto"/>
        <w:ind w:firstLine="420" w:firstLineChars="200"/>
        <w:jc w:val="left"/>
        <w:rPr>
          <w:rFonts w:ascii="宋体" w:hAnsi="宋体"/>
          <w:szCs w:val="21"/>
        </w:rPr>
      </w:pPr>
      <w:r>
        <w:rPr>
          <w:rFonts w:hint="eastAsia" w:ascii="宋体" w:hAnsi="宋体"/>
          <w:szCs w:val="21"/>
        </w:rPr>
        <w:t>（4）投标人的报价，应当是本项目采购范围和招标文件及合同条款上所列的各项内容中所述的全部，不得以任何理由予以重复。</w:t>
      </w:r>
    </w:p>
    <w:p>
      <w:pPr>
        <w:spacing w:line="360" w:lineRule="auto"/>
        <w:ind w:firstLine="420" w:firstLineChars="200"/>
        <w:jc w:val="left"/>
        <w:rPr>
          <w:rFonts w:ascii="宋体" w:hAnsi="宋体"/>
          <w:szCs w:val="21"/>
        </w:rPr>
      </w:pPr>
      <w:r>
        <w:rPr>
          <w:rFonts w:hint="eastAsia" w:ascii="宋体" w:hAnsi="宋体"/>
          <w:szCs w:val="21"/>
        </w:rPr>
        <w:t>（5）除非采购人通过修改招标文件予以更正，否则，投标人应毫无例外地按响应文件所列的清单中项目和数量填报综合单价和合价。投标人未填综合单价或合价的项目，在实施后，将不得以支付，并视作该项费用已包括在其它有价款的综合单价或合价内。</w:t>
      </w:r>
    </w:p>
    <w:p>
      <w:pPr>
        <w:spacing w:line="360" w:lineRule="auto"/>
        <w:ind w:firstLine="420" w:firstLineChars="200"/>
        <w:jc w:val="left"/>
        <w:rPr>
          <w:rFonts w:ascii="宋体" w:hAnsi="宋体"/>
          <w:szCs w:val="21"/>
        </w:rPr>
      </w:pPr>
      <w:r>
        <w:rPr>
          <w:rFonts w:hint="eastAsia" w:ascii="宋体" w:hAnsi="宋体"/>
          <w:szCs w:val="21"/>
        </w:rPr>
        <w:t>（6）投标人不得期望通过索赔等方式获取补偿，否则，除可能遭到拒绝外，还可能将被作为不良行为记录在案，并可能影响其以后参加政府采购的项目投标。各投标人在报价时，应充分考虑报价的风险。</w:t>
      </w:r>
    </w:p>
    <w:p>
      <w:pPr>
        <w:pStyle w:val="255"/>
        <w:spacing w:beforeLines="0"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（四）付款方式：</w:t>
      </w:r>
    </w:p>
    <w:p>
      <w:pPr>
        <w:pStyle w:val="456"/>
        <w:spacing w:before="0" w:beforeAutospacing="0" w:after="0" w:afterAutospacing="0" w:line="360" w:lineRule="auto"/>
        <w:ind w:firstLine="420" w:firstLineChars="200"/>
        <w:rPr>
          <w:rFonts w:hint="eastAsia"/>
          <w:sz w:val="21"/>
          <w:szCs w:val="21"/>
        </w:rPr>
      </w:pPr>
      <w:r>
        <w:rPr>
          <w:rFonts w:hint="eastAsia"/>
          <w:sz w:val="21"/>
          <w:szCs w:val="21"/>
        </w:rPr>
        <w:t>1</w:t>
      </w:r>
      <w:r>
        <w:rPr>
          <w:rFonts w:hint="eastAsia"/>
          <w:sz w:val="21"/>
          <w:szCs w:val="21"/>
          <w:lang w:val="en-US" w:eastAsia="zh-CN"/>
        </w:rPr>
        <w:t>.</w:t>
      </w:r>
      <w:r>
        <w:rPr>
          <w:rFonts w:hint="eastAsia"/>
          <w:sz w:val="21"/>
          <w:szCs w:val="21"/>
        </w:rPr>
        <w:t>合同签订后中标方提供符合规定的发票后</w:t>
      </w:r>
      <w:r>
        <w:rPr>
          <w:sz w:val="21"/>
          <w:szCs w:val="21"/>
        </w:rPr>
        <w:t>15</w:t>
      </w:r>
      <w:r>
        <w:rPr>
          <w:rFonts w:hint="eastAsia"/>
          <w:sz w:val="21"/>
          <w:szCs w:val="21"/>
        </w:rPr>
        <w:t>日历日内支付50%合同总款；</w:t>
      </w:r>
    </w:p>
    <w:p>
      <w:pPr>
        <w:pStyle w:val="456"/>
        <w:spacing w:before="0" w:beforeAutospacing="0" w:after="0" w:afterAutospacing="0" w:line="360" w:lineRule="auto"/>
        <w:ind w:firstLine="420" w:firstLineChars="200"/>
        <w:rPr>
          <w:rFonts w:hint="eastAsia"/>
          <w:sz w:val="21"/>
          <w:szCs w:val="21"/>
        </w:rPr>
      </w:pPr>
      <w:r>
        <w:rPr>
          <w:rFonts w:hint="eastAsia"/>
          <w:sz w:val="21"/>
          <w:szCs w:val="21"/>
        </w:rPr>
        <w:t>2</w:t>
      </w:r>
      <w:r>
        <w:rPr>
          <w:rFonts w:hint="eastAsia"/>
          <w:sz w:val="21"/>
          <w:szCs w:val="21"/>
          <w:lang w:val="en-US" w:eastAsia="zh-CN"/>
        </w:rPr>
        <w:t>.</w:t>
      </w:r>
      <w:r>
        <w:rPr>
          <w:rFonts w:hint="eastAsia"/>
          <w:sz w:val="21"/>
          <w:szCs w:val="21"/>
        </w:rPr>
        <w:t>服务满4个月后，经采购人中期验收通过，中标</w:t>
      </w:r>
      <w:r>
        <w:rPr>
          <w:rFonts w:hint="eastAsia"/>
          <w:sz w:val="21"/>
          <w:szCs w:val="21"/>
          <w:lang w:val="en-US" w:eastAsia="zh-CN"/>
        </w:rPr>
        <w:t>方</w:t>
      </w:r>
      <w:r>
        <w:rPr>
          <w:rFonts w:hint="eastAsia"/>
          <w:sz w:val="21"/>
          <w:szCs w:val="21"/>
        </w:rPr>
        <w:t>出具符合规定的发票后15个日历日内，采购人支付50%合同尾款。</w:t>
      </w:r>
    </w:p>
    <w:p>
      <w:pPr>
        <w:pStyle w:val="456"/>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ind w:firstLine="0" w:firstLineChars="0"/>
        <w:textAlignment w:val="auto"/>
        <w:rPr>
          <w:rFonts w:hint="eastAsia" w:eastAsia="宋体"/>
          <w:sz w:val="21"/>
          <w:szCs w:val="21"/>
          <w:lang w:eastAsia="zh-CN"/>
        </w:rPr>
      </w:pPr>
      <w:r>
        <w:rPr>
          <w:rFonts w:hint="eastAsia"/>
          <w:b/>
          <w:bCs/>
          <w:sz w:val="21"/>
          <w:szCs w:val="21"/>
          <w:lang w:eastAsia="zh-CN"/>
        </w:rPr>
        <w:t>（</w:t>
      </w:r>
      <w:r>
        <w:rPr>
          <w:rFonts w:hint="eastAsia"/>
          <w:b/>
          <w:bCs/>
          <w:sz w:val="21"/>
          <w:szCs w:val="21"/>
          <w:lang w:val="en-US" w:eastAsia="zh-CN"/>
        </w:rPr>
        <w:t>五</w:t>
      </w:r>
      <w:r>
        <w:rPr>
          <w:rFonts w:hint="eastAsia"/>
          <w:b/>
          <w:bCs/>
          <w:sz w:val="21"/>
          <w:szCs w:val="21"/>
          <w:lang w:eastAsia="zh-CN"/>
        </w:rPr>
        <w:t>）其他商务要求：</w:t>
      </w:r>
    </w:p>
    <w:p>
      <w:pPr>
        <w:pStyle w:val="45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eastAsia="宋体"/>
          <w:sz w:val="21"/>
          <w:szCs w:val="21"/>
          <w:lang w:eastAsia="zh-CN"/>
        </w:rPr>
      </w:pPr>
      <w:r>
        <w:rPr>
          <w:rFonts w:hint="eastAsia"/>
          <w:sz w:val="21"/>
          <w:szCs w:val="21"/>
          <w:lang w:val="en-US" w:eastAsia="zh-CN"/>
        </w:rPr>
        <w:t>1.</w:t>
      </w:r>
      <w:r>
        <w:rPr>
          <w:rFonts w:hint="eastAsia"/>
          <w:sz w:val="21"/>
          <w:szCs w:val="21"/>
        </w:rPr>
        <w:t>保密义务</w:t>
      </w:r>
      <w:r>
        <w:rPr>
          <w:rFonts w:hint="eastAsia"/>
          <w:sz w:val="21"/>
          <w:szCs w:val="21"/>
          <w:lang w:eastAsia="zh-CN"/>
        </w:rPr>
        <w:t>：</w:t>
      </w:r>
    </w:p>
    <w:p>
      <w:pPr>
        <w:pStyle w:val="45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textAlignment w:val="auto"/>
        <w:rPr>
          <w:sz w:val="21"/>
          <w:szCs w:val="21"/>
        </w:rPr>
      </w:pPr>
      <w:r>
        <w:rPr>
          <w:rFonts w:hint="eastAsia"/>
          <w:sz w:val="21"/>
          <w:szCs w:val="21"/>
        </w:rPr>
        <w:t>采购人、中标人双方在采购和履行合同过程中所获悉的所有信息都属于保密的内容，采购人中标人双方均有保密义务。</w:t>
      </w:r>
    </w:p>
    <w:p>
      <w:pPr>
        <w:pStyle w:val="45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textAlignment w:val="auto"/>
        <w:rPr>
          <w:sz w:val="21"/>
          <w:szCs w:val="21"/>
        </w:rPr>
      </w:pPr>
      <w:r>
        <w:rPr>
          <w:rFonts w:hint="eastAsia"/>
          <w:sz w:val="21"/>
          <w:szCs w:val="21"/>
          <w:lang w:val="en-US" w:eastAsia="zh-CN"/>
        </w:rPr>
        <w:t>2.</w:t>
      </w:r>
      <w:r>
        <w:rPr>
          <w:rFonts w:hint="eastAsia"/>
          <w:sz w:val="21"/>
          <w:szCs w:val="21"/>
        </w:rPr>
        <w:t>违约责任</w:t>
      </w:r>
      <w:r>
        <w:rPr>
          <w:rFonts w:hint="eastAsia"/>
          <w:sz w:val="21"/>
          <w:szCs w:val="21"/>
          <w:lang w:eastAsia="zh-CN"/>
        </w:rPr>
        <w:t>：</w:t>
      </w:r>
    </w:p>
    <w:p>
      <w:pPr>
        <w:pStyle w:val="45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textAlignment w:val="auto"/>
        <w:rPr>
          <w:sz w:val="21"/>
          <w:szCs w:val="21"/>
        </w:rPr>
      </w:pPr>
      <w:r>
        <w:rPr>
          <w:rFonts w:hint="eastAsia"/>
          <w:sz w:val="21"/>
          <w:szCs w:val="21"/>
        </w:rPr>
        <w:t>若中标人项目履约情况未满足投标文件的要求，采购人有权终止合同并向中标人提出索赔</w:t>
      </w:r>
      <w:r>
        <w:rPr>
          <w:sz w:val="21"/>
          <w:szCs w:val="21"/>
        </w:rPr>
        <w:t>。</w:t>
      </w:r>
    </w:p>
    <w:p>
      <w:pPr>
        <w:pStyle w:val="45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eastAsia="宋体"/>
          <w:sz w:val="21"/>
          <w:szCs w:val="21"/>
          <w:lang w:eastAsia="zh-CN"/>
        </w:rPr>
      </w:pPr>
      <w:r>
        <w:rPr>
          <w:rFonts w:hint="eastAsia"/>
          <w:sz w:val="21"/>
          <w:szCs w:val="21"/>
          <w:lang w:val="en-US" w:eastAsia="zh-CN"/>
        </w:rPr>
        <w:t>3.</w:t>
      </w:r>
      <w:r>
        <w:rPr>
          <w:rFonts w:hint="eastAsia"/>
          <w:sz w:val="21"/>
          <w:szCs w:val="21"/>
        </w:rPr>
        <w:t>合同的变更</w:t>
      </w:r>
      <w:r>
        <w:rPr>
          <w:rFonts w:hint="eastAsia"/>
          <w:sz w:val="21"/>
          <w:szCs w:val="21"/>
          <w:lang w:eastAsia="zh-CN"/>
        </w:rPr>
        <w:t>：</w:t>
      </w:r>
    </w:p>
    <w:p>
      <w:pPr>
        <w:pStyle w:val="45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textAlignment w:val="auto"/>
        <w:rPr>
          <w:sz w:val="21"/>
          <w:szCs w:val="21"/>
        </w:rPr>
      </w:pPr>
      <w:r>
        <w:rPr>
          <w:rFonts w:hint="eastAsia"/>
          <w:sz w:val="21"/>
          <w:szCs w:val="21"/>
          <w:lang w:val="en-US" w:eastAsia="zh-CN"/>
        </w:rPr>
        <w:t>3.1</w:t>
      </w:r>
      <w:r>
        <w:rPr>
          <w:rFonts w:hint="eastAsia"/>
          <w:sz w:val="21"/>
          <w:szCs w:val="21"/>
        </w:rPr>
        <w:t>在合同履行过程中，采购人、中标人双方可就合同履行的时间、地点和方式等协商进行变更。协商一致后，双方应签订书面的补充协议。</w:t>
      </w:r>
    </w:p>
    <w:p>
      <w:pPr>
        <w:pStyle w:val="45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textAlignment w:val="auto"/>
        <w:rPr>
          <w:sz w:val="21"/>
          <w:szCs w:val="21"/>
        </w:rPr>
      </w:pPr>
      <w:r>
        <w:rPr>
          <w:rFonts w:hint="eastAsia"/>
          <w:sz w:val="21"/>
          <w:szCs w:val="21"/>
          <w:lang w:val="en-US" w:eastAsia="zh-CN"/>
        </w:rPr>
        <w:t>3.2</w:t>
      </w:r>
      <w:r>
        <w:rPr>
          <w:rFonts w:hint="eastAsia"/>
          <w:sz w:val="21"/>
          <w:szCs w:val="21"/>
        </w:rPr>
        <w:t>在不改变合同其他条款的前提下，采购人有权在合同价款改变正负百分之十的范围内追加或减少与合同标的相同的货物或服务，并就此与中标人签订补充合同，中标人不得拒绝。</w:t>
      </w:r>
    </w:p>
    <w:p>
      <w:pPr>
        <w:pStyle w:val="45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textAlignment w:val="auto"/>
        <w:rPr>
          <w:sz w:val="21"/>
          <w:szCs w:val="21"/>
        </w:rPr>
      </w:pPr>
      <w:r>
        <w:rPr>
          <w:rFonts w:hint="eastAsia"/>
          <w:sz w:val="21"/>
          <w:szCs w:val="21"/>
          <w:lang w:val="en-US" w:eastAsia="zh-CN"/>
        </w:rPr>
        <w:t>3.3</w:t>
      </w:r>
      <w:r>
        <w:rPr>
          <w:rFonts w:hint="eastAsia"/>
          <w:sz w:val="21"/>
          <w:szCs w:val="21"/>
        </w:rPr>
        <w:t>除了双方签署书面协议，并成为合同不可分割的一部分之外，合同条件不得有任何变更。</w:t>
      </w:r>
    </w:p>
    <w:p>
      <w:pPr>
        <w:pStyle w:val="45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textAlignment w:val="auto"/>
        <w:rPr>
          <w:sz w:val="21"/>
          <w:szCs w:val="21"/>
        </w:rPr>
      </w:pPr>
      <w:r>
        <w:rPr>
          <w:rFonts w:hint="eastAsia"/>
          <w:sz w:val="21"/>
          <w:szCs w:val="21"/>
          <w:lang w:val="en-US" w:eastAsia="zh-CN"/>
        </w:rPr>
        <w:t>4.</w:t>
      </w:r>
      <w:r>
        <w:rPr>
          <w:rFonts w:hint="eastAsia"/>
          <w:sz w:val="21"/>
          <w:szCs w:val="21"/>
        </w:rPr>
        <w:t>解决争议的方法</w:t>
      </w:r>
      <w:r>
        <w:rPr>
          <w:rFonts w:hint="eastAsia"/>
          <w:sz w:val="21"/>
          <w:szCs w:val="21"/>
          <w:lang w:eastAsia="zh-CN"/>
        </w:rPr>
        <w:t>：</w:t>
      </w:r>
    </w:p>
    <w:p>
      <w:pPr>
        <w:pStyle w:val="45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textAlignment w:val="auto"/>
        <w:rPr>
          <w:sz w:val="21"/>
          <w:szCs w:val="21"/>
        </w:rPr>
      </w:pPr>
      <w:r>
        <w:rPr>
          <w:rFonts w:hint="eastAsia"/>
          <w:sz w:val="21"/>
          <w:szCs w:val="21"/>
          <w:lang w:val="en-US" w:eastAsia="zh-CN"/>
        </w:rPr>
        <w:t>4.1</w:t>
      </w:r>
      <w:r>
        <w:rPr>
          <w:rFonts w:hint="eastAsia"/>
          <w:sz w:val="21"/>
          <w:szCs w:val="21"/>
        </w:rPr>
        <w:t>合同各方应通过友好协商，解决在执行合同过程中所发生的或与合同有关的一切争端。</w:t>
      </w:r>
    </w:p>
    <w:p>
      <w:pPr>
        <w:pStyle w:val="45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textAlignment w:val="auto"/>
        <w:rPr>
          <w:sz w:val="21"/>
          <w:szCs w:val="21"/>
        </w:rPr>
      </w:pPr>
      <w:r>
        <w:rPr>
          <w:rFonts w:hint="eastAsia"/>
          <w:sz w:val="21"/>
          <w:szCs w:val="21"/>
          <w:lang w:val="en-US" w:eastAsia="zh-CN"/>
        </w:rPr>
        <w:t>4.2</w:t>
      </w:r>
      <w:r>
        <w:rPr>
          <w:rFonts w:hint="eastAsia"/>
          <w:sz w:val="21"/>
          <w:szCs w:val="21"/>
        </w:rPr>
        <w:t>如协商不能解决，任一方可向采购人所在地的人民法院提起诉讼。</w:t>
      </w:r>
    </w:p>
    <w:p>
      <w:pPr>
        <w:pStyle w:val="45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textAlignment w:val="auto"/>
        <w:rPr>
          <w:sz w:val="21"/>
          <w:szCs w:val="21"/>
        </w:rPr>
      </w:pPr>
      <w:r>
        <w:rPr>
          <w:rFonts w:hint="eastAsia"/>
          <w:sz w:val="21"/>
          <w:szCs w:val="21"/>
          <w:lang w:val="en-US" w:eastAsia="zh-CN"/>
        </w:rPr>
        <w:t>4.3</w:t>
      </w:r>
      <w:r>
        <w:rPr>
          <w:rFonts w:hint="eastAsia"/>
          <w:sz w:val="21"/>
          <w:szCs w:val="21"/>
        </w:rPr>
        <w:t>在诉讼期间，除正在进行诉讼的部分外，合同的其他部分应继续执行。</w:t>
      </w:r>
    </w:p>
    <w:p>
      <w:pPr>
        <w:pStyle w:val="45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eastAsia="宋体"/>
          <w:sz w:val="21"/>
          <w:szCs w:val="21"/>
          <w:lang w:eastAsia="zh-CN"/>
        </w:rPr>
      </w:pPr>
      <w:r>
        <w:rPr>
          <w:rFonts w:hint="eastAsia"/>
          <w:sz w:val="21"/>
          <w:szCs w:val="21"/>
          <w:lang w:val="en-US" w:eastAsia="zh-CN"/>
        </w:rPr>
        <w:t>5.</w:t>
      </w:r>
      <w:r>
        <w:rPr>
          <w:rFonts w:hint="eastAsia"/>
          <w:sz w:val="21"/>
          <w:szCs w:val="21"/>
        </w:rPr>
        <w:t>合同语言</w:t>
      </w:r>
      <w:r>
        <w:rPr>
          <w:rFonts w:hint="eastAsia"/>
          <w:sz w:val="21"/>
          <w:szCs w:val="21"/>
          <w:lang w:eastAsia="zh-CN"/>
        </w:rPr>
        <w:t>：</w:t>
      </w:r>
    </w:p>
    <w:p>
      <w:pPr>
        <w:pStyle w:val="45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textAlignment w:val="auto"/>
        <w:rPr>
          <w:sz w:val="21"/>
          <w:szCs w:val="21"/>
        </w:rPr>
      </w:pPr>
      <w:r>
        <w:rPr>
          <w:rFonts w:hint="eastAsia"/>
          <w:sz w:val="21"/>
          <w:szCs w:val="21"/>
        </w:rPr>
        <w:t>合同以及双方来往的与合同有关的信件、传真和其它文件应用中文书写。</w:t>
      </w:r>
    </w:p>
    <w:p>
      <w:pPr>
        <w:pStyle w:val="45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textAlignment w:val="auto"/>
        <w:rPr>
          <w:sz w:val="21"/>
          <w:szCs w:val="21"/>
        </w:rPr>
      </w:pPr>
      <w:r>
        <w:rPr>
          <w:rFonts w:hint="eastAsia"/>
          <w:sz w:val="21"/>
          <w:szCs w:val="21"/>
          <w:lang w:val="en-US" w:eastAsia="zh-CN"/>
        </w:rPr>
        <w:t>6.</w:t>
      </w:r>
      <w:r>
        <w:rPr>
          <w:rFonts w:hint="eastAsia"/>
          <w:sz w:val="21"/>
          <w:szCs w:val="21"/>
        </w:rPr>
        <w:t>法律适用</w:t>
      </w:r>
      <w:r>
        <w:rPr>
          <w:rFonts w:hint="eastAsia"/>
          <w:sz w:val="21"/>
          <w:szCs w:val="21"/>
          <w:lang w:eastAsia="zh-CN"/>
        </w:rPr>
        <w:t>：</w:t>
      </w:r>
    </w:p>
    <w:p>
      <w:pPr>
        <w:pStyle w:val="45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textAlignment w:val="auto"/>
        <w:rPr>
          <w:sz w:val="21"/>
          <w:szCs w:val="21"/>
        </w:rPr>
      </w:pPr>
      <w:r>
        <w:rPr>
          <w:rFonts w:hint="eastAsia"/>
          <w:sz w:val="21"/>
          <w:szCs w:val="21"/>
        </w:rPr>
        <w:t>合同适用中华人民共和国现行法律、行政法规和规章，如合同条款与法律、行政法规和规章不一致的，按照法律、行政法规和规章修改合同。</w:t>
      </w:r>
    </w:p>
    <w:p>
      <w:pPr>
        <w:pStyle w:val="45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eastAsia="宋体"/>
          <w:sz w:val="21"/>
          <w:szCs w:val="21"/>
          <w:lang w:eastAsia="zh-CN"/>
        </w:rPr>
      </w:pPr>
      <w:r>
        <w:rPr>
          <w:rFonts w:hint="eastAsia"/>
          <w:sz w:val="21"/>
          <w:szCs w:val="21"/>
          <w:lang w:val="en-US" w:eastAsia="zh-CN"/>
        </w:rPr>
        <w:t>7.</w:t>
      </w:r>
      <w:r>
        <w:rPr>
          <w:rFonts w:hint="eastAsia"/>
          <w:sz w:val="21"/>
          <w:szCs w:val="21"/>
        </w:rPr>
        <w:t>通知</w:t>
      </w:r>
      <w:r>
        <w:rPr>
          <w:rFonts w:hint="eastAsia"/>
          <w:sz w:val="21"/>
          <w:szCs w:val="21"/>
          <w:lang w:eastAsia="zh-CN"/>
        </w:rPr>
        <w:t>：</w:t>
      </w:r>
    </w:p>
    <w:p>
      <w:pPr>
        <w:pStyle w:val="45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textAlignment w:val="auto"/>
        <w:rPr>
          <w:sz w:val="21"/>
          <w:szCs w:val="21"/>
        </w:rPr>
      </w:pPr>
      <w:r>
        <w:rPr>
          <w:rFonts w:hint="eastAsia"/>
          <w:sz w:val="21"/>
          <w:szCs w:val="21"/>
          <w:lang w:val="en-US" w:eastAsia="zh-CN"/>
        </w:rPr>
        <w:t>7.1</w:t>
      </w:r>
      <w:r>
        <w:rPr>
          <w:rFonts w:hint="eastAsia"/>
          <w:sz w:val="21"/>
          <w:szCs w:val="21"/>
        </w:rPr>
        <w:t>合同一方给另一方的通知均应采用书面形式，传真或快递送到对方的地址和办理签收手续。</w:t>
      </w:r>
    </w:p>
    <w:p>
      <w:pPr>
        <w:pStyle w:val="45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textAlignment w:val="auto"/>
        <w:rPr>
          <w:sz w:val="21"/>
          <w:szCs w:val="21"/>
        </w:rPr>
      </w:pPr>
      <w:r>
        <w:rPr>
          <w:rFonts w:hint="eastAsia"/>
          <w:sz w:val="21"/>
          <w:szCs w:val="21"/>
          <w:lang w:val="en-US" w:eastAsia="zh-CN"/>
        </w:rPr>
        <w:t>7.2</w:t>
      </w:r>
      <w:r>
        <w:rPr>
          <w:rFonts w:hint="eastAsia"/>
          <w:sz w:val="21"/>
          <w:szCs w:val="21"/>
        </w:rPr>
        <w:t>通知以送到之日或通知书中规定的生效之日起生效，两者中以较迟之日为准。</w:t>
      </w:r>
    </w:p>
    <w:p>
      <w:pPr>
        <w:pStyle w:val="45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eastAsia="宋体"/>
          <w:sz w:val="21"/>
          <w:szCs w:val="21"/>
          <w:lang w:eastAsia="zh-CN"/>
        </w:rPr>
      </w:pPr>
      <w:r>
        <w:rPr>
          <w:rFonts w:hint="eastAsia"/>
          <w:sz w:val="21"/>
          <w:szCs w:val="21"/>
          <w:lang w:val="en-US" w:eastAsia="zh-CN"/>
        </w:rPr>
        <w:t>8.</w:t>
      </w:r>
      <w:r>
        <w:rPr>
          <w:rFonts w:hint="eastAsia"/>
          <w:sz w:val="21"/>
          <w:szCs w:val="21"/>
        </w:rPr>
        <w:t>合同解除和终止</w:t>
      </w:r>
      <w:r>
        <w:rPr>
          <w:rFonts w:hint="eastAsia"/>
          <w:sz w:val="21"/>
          <w:szCs w:val="21"/>
          <w:lang w:eastAsia="zh-CN"/>
        </w:rPr>
        <w:t>：</w:t>
      </w:r>
    </w:p>
    <w:p>
      <w:pPr>
        <w:pStyle w:val="45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textAlignment w:val="auto"/>
        <w:rPr>
          <w:sz w:val="21"/>
          <w:szCs w:val="21"/>
        </w:rPr>
      </w:pPr>
      <w:r>
        <w:rPr>
          <w:rFonts w:hint="eastAsia"/>
          <w:sz w:val="21"/>
          <w:szCs w:val="21"/>
        </w:rPr>
        <w:t>如果中标人未能在协议规定的限期或采购人同意延长的限期内提供部分或全部货物/服务，采购人可向中标人发出书面的违约通知书，提出终止部份或全部协议。采购人可在任何时候出于自身的便利向中标人发出书面通知终止部分合同，采购人在合同总价中扣除该终止部分货物/服务的价款，并不再对中标人作出额外赔偿。</w:t>
      </w:r>
    </w:p>
    <w:p>
      <w:pPr>
        <w:pStyle w:val="45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textAlignment w:val="auto"/>
        <w:rPr>
          <w:rFonts w:hint="eastAsia" w:eastAsia="宋体"/>
          <w:sz w:val="21"/>
          <w:szCs w:val="21"/>
          <w:lang w:eastAsia="zh-CN"/>
        </w:rPr>
      </w:pPr>
      <w:r>
        <w:rPr>
          <w:rFonts w:hint="eastAsia"/>
          <w:sz w:val="21"/>
          <w:szCs w:val="21"/>
          <w:lang w:val="en-US" w:eastAsia="zh-CN"/>
        </w:rPr>
        <w:t>9.</w:t>
      </w:r>
      <w:r>
        <w:rPr>
          <w:rFonts w:hint="eastAsia"/>
          <w:sz w:val="21"/>
          <w:szCs w:val="21"/>
        </w:rPr>
        <w:t>税费</w:t>
      </w:r>
      <w:r>
        <w:rPr>
          <w:rFonts w:hint="eastAsia"/>
          <w:sz w:val="21"/>
          <w:szCs w:val="21"/>
          <w:lang w:eastAsia="zh-CN"/>
        </w:rPr>
        <w:t>：</w:t>
      </w:r>
    </w:p>
    <w:p>
      <w:pPr>
        <w:pStyle w:val="45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420" w:firstLineChars="200"/>
        <w:textAlignment w:val="auto"/>
        <w:rPr>
          <w:sz w:val="21"/>
          <w:szCs w:val="21"/>
        </w:rPr>
      </w:pPr>
      <w:r>
        <w:rPr>
          <w:rFonts w:hint="eastAsia"/>
          <w:sz w:val="21"/>
          <w:szCs w:val="21"/>
        </w:rPr>
        <w:t>中国政府根据现行税法向中标人征收的与合同有关的一切税费均由中标人负责。</w:t>
      </w:r>
    </w:p>
    <w:p>
      <w:pPr>
        <w:pStyle w:val="456"/>
        <w:spacing w:before="0" w:beforeAutospacing="0" w:after="0" w:afterAutospacing="0" w:line="360" w:lineRule="auto"/>
        <w:rPr>
          <w:sz w:val="21"/>
          <w:szCs w:val="21"/>
        </w:rPr>
      </w:pPr>
    </w:p>
    <w:p>
      <w:pPr>
        <w:pStyle w:val="456"/>
        <w:spacing w:before="0" w:beforeAutospacing="0" w:after="0" w:afterAutospacing="0" w:line="360" w:lineRule="auto"/>
        <w:rPr>
          <w:sz w:val="21"/>
          <w:szCs w:val="21"/>
        </w:rPr>
      </w:pPr>
    </w:p>
    <w:p>
      <w:pPr>
        <w:pStyle w:val="2"/>
      </w:pPr>
      <w:bookmarkStart w:id="2" w:name="_Toc135293161"/>
      <w:r>
        <w:rPr>
          <w:rFonts w:hint="eastAsia"/>
        </w:rPr>
        <w:t>第三章  投标文件初审</w:t>
      </w:r>
      <w:bookmarkEnd w:id="2"/>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请评委重点审查供应商是否存在《深圳经济特区政府采购条例实施细则》第七十九条规定的串通投标情形：</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（一）投标供应商之间相互约定给予未中标的供应商利益补偿；</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（二）不同投标供应商的法定代表人、主要经营负责人、项目投标授权代表人、项目负责人、主要技术人员为同一人、属同一单位或者在同一单位缴纳社会保险；</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（三）不同投标供应商的投标文件由同一单位或者同一人编制，或者由同一人分阶段参与编制的；</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（四）不同投标供应商的投标文件或部分投标文件相互混装；</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（五）不同投标供应商的投标文件内容存在非正常一致；</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（六）由同一单位工作人员为两家以上（含两家）供应商进行同一项投标活动的；</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（七）主管部门依照法律、法规认定的其他情形。</w:t>
      </w:r>
    </w:p>
    <w:p>
      <w:pPr>
        <w:adjustRightInd w:val="0"/>
        <w:spacing w:line="360" w:lineRule="auto"/>
        <w:rPr>
          <w:snapToGrid w:val="0"/>
          <w:kern w:val="0"/>
        </w:rPr>
      </w:pPr>
    </w:p>
    <w:p>
      <w:pPr>
        <w:adjustRightInd w:val="0"/>
        <w:spacing w:line="360" w:lineRule="auto"/>
        <w:ind w:firstLine="422" w:firstLineChars="201"/>
        <w:rPr>
          <w:snapToGrid w:val="0"/>
          <w:kern w:val="0"/>
        </w:rPr>
      </w:pPr>
      <w:r>
        <w:rPr>
          <w:rFonts w:hint="eastAsia"/>
          <w:snapToGrid w:val="0"/>
          <w:kern w:val="0"/>
        </w:rPr>
        <w:t>一、资格性</w:t>
      </w:r>
      <w:r>
        <w:rPr>
          <w:rFonts w:hint="eastAsia" w:ascii="宋体" w:hAnsi="宋体"/>
          <w:snapToGrid w:val="0"/>
          <w:kern w:val="0"/>
        </w:rPr>
        <w:t>审查</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1、投标人的资格不符合招标文件要求</w:t>
      </w:r>
      <w:r>
        <w:rPr>
          <w:rFonts w:hint="eastAsia" w:ascii="宋体" w:hAnsi="宋体"/>
        </w:rPr>
        <w:t>或资格证明文件提供不全</w:t>
      </w:r>
      <w:r>
        <w:rPr>
          <w:rFonts w:hint="eastAsia" w:ascii="宋体" w:hAnsi="宋体"/>
          <w:snapToGrid w:val="0"/>
          <w:kern w:val="0"/>
        </w:rPr>
        <w:t>。</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二、符合性审查</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1、投标人提供的投标文件数量不符合招标文件要求。</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2、投标文件未按照招标文件要求制作、密封和标记。</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3、未按招标文件要求提供法定代表人（负责人）证明书和法定代表人（负责人）授权委托书。</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4、投标文件有关内容未按招标文件要求加盖投标人印章、或未经法定代表人或其委托代理人签字（或盖章）。</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5、投标文件的关键内容字迹模糊、无法辨认的。</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6、投标报价有严重缺漏项的。</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7、未按招标文件所提供的样式填写</w:t>
      </w:r>
      <w:r>
        <w:rPr>
          <w:rFonts w:ascii="宋体" w:hAnsi="宋体"/>
          <w:snapToGrid w:val="0"/>
          <w:kern w:val="0"/>
        </w:rPr>
        <w:t>《</w:t>
      </w:r>
      <w:r>
        <w:rPr>
          <w:rFonts w:hint="eastAsia" w:ascii="宋体" w:hAnsi="宋体"/>
          <w:snapToGrid w:val="0"/>
          <w:kern w:val="0"/>
        </w:rPr>
        <w:t>投标函》。</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8、任一项带★的指标未响应或不满足要求（如有带</w:t>
      </w:r>
      <w:r>
        <w:rPr>
          <w:rFonts w:hint="eastAsia" w:ascii="宋体" w:hAnsi="宋体"/>
        </w:rPr>
        <w:t>★</w:t>
      </w:r>
      <w:r>
        <w:rPr>
          <w:rFonts w:hint="eastAsia" w:ascii="宋体" w:hAnsi="宋体"/>
          <w:snapToGrid w:val="0"/>
          <w:kern w:val="0"/>
        </w:rPr>
        <w:t>号条款）。</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9、将一个项目包拆分投标，同时提供两套或以上的投标方案</w:t>
      </w:r>
      <w:r>
        <w:rPr>
          <w:szCs w:val="21"/>
        </w:rPr>
        <w:t>（招标文件另有规定的除外）</w:t>
      </w:r>
      <w:r>
        <w:rPr>
          <w:rFonts w:hint="eastAsia" w:ascii="宋体" w:hAnsi="宋体"/>
          <w:snapToGrid w:val="0"/>
          <w:kern w:val="0"/>
        </w:rPr>
        <w:t>。</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10、投标文件附有</w:t>
      </w:r>
      <w:r>
        <w:rPr>
          <w:rFonts w:hint="eastAsia" w:ascii="宋体" w:hAnsi="宋体"/>
          <w:bCs/>
          <w:snapToGrid w:val="0"/>
          <w:kern w:val="0"/>
        </w:rPr>
        <w:t>采购人</w:t>
      </w:r>
      <w:r>
        <w:rPr>
          <w:rFonts w:hint="eastAsia" w:ascii="宋体" w:hAnsi="宋体"/>
          <w:snapToGrid w:val="0"/>
          <w:kern w:val="0"/>
        </w:rPr>
        <w:t>不能接受的条件。</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11、投标违规行为：如以他人名义竞标、串通投标或者以其他弄虚作假方式投标的。</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12、</w:t>
      </w:r>
      <w:r>
        <w:rPr>
          <w:rFonts w:hint="eastAsia" w:ascii="宋体" w:hAnsi="宋体"/>
          <w:bCs/>
          <w:szCs w:val="21"/>
        </w:rPr>
        <w:t>投标人的投标总价超过采购预算金额或最高投标限价的</w:t>
      </w:r>
      <w:r>
        <w:rPr>
          <w:rFonts w:hint="eastAsia" w:ascii="宋体" w:hAnsi="宋体"/>
          <w:snapToGrid w:val="0"/>
          <w:kern w:val="0"/>
        </w:rPr>
        <w:t>。</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13、法律法规规定的其它情形。</w:t>
      </w:r>
    </w:p>
    <w:p/>
    <w:p/>
    <w:p/>
    <w:p/>
    <w:p/>
    <w:p/>
    <w:p/>
    <w:p/>
    <w:p/>
    <w:p/>
    <w:p/>
    <w:p/>
    <w:p/>
    <w:p/>
    <w:p/>
    <w:p/>
    <w:p/>
    <w:p/>
    <w:p/>
    <w:p/>
    <w:p/>
    <w:p/>
    <w:p/>
    <w:p/>
    <w:p/>
    <w:p/>
    <w:p/>
    <w:p/>
    <w:p/>
    <w:p/>
    <w:p/>
    <w:p/>
    <w:p/>
    <w:p/>
    <w:p/>
    <w:p/>
    <w:p/>
    <w:p/>
    <w:p/>
    <w:p/>
    <w:p/>
    <w:p>
      <w:pPr>
        <w:pStyle w:val="2"/>
        <w:spacing w:after="0"/>
      </w:pPr>
      <w:bookmarkStart w:id="3" w:name="_Toc135293162"/>
      <w:r>
        <w:rPr>
          <w:rFonts w:hint="eastAsia"/>
        </w:rPr>
        <w:t>第四章  评标方法和标准</w:t>
      </w:r>
      <w:bookmarkEnd w:id="3"/>
    </w:p>
    <w:p/>
    <w:p>
      <w:pPr>
        <w:pStyle w:val="4"/>
        <w:spacing w:before="0" w:after="0"/>
      </w:pPr>
      <w:bookmarkStart w:id="4" w:name="_Toc135293163"/>
      <w:bookmarkStart w:id="5" w:name="_Toc44690429"/>
      <w:bookmarkStart w:id="6" w:name="_Toc44690702"/>
      <w:bookmarkStart w:id="7" w:name="_Toc44691393"/>
      <w:bookmarkStart w:id="8" w:name="_Toc44691161"/>
      <w:r>
        <w:rPr>
          <w:rFonts w:hint="eastAsia"/>
        </w:rPr>
        <w:t>一、</w:t>
      </w:r>
      <w:r>
        <w:t>评标方法</w:t>
      </w:r>
      <w:bookmarkEnd w:id="4"/>
      <w:bookmarkEnd w:id="5"/>
      <w:bookmarkEnd w:id="6"/>
      <w:bookmarkEnd w:id="7"/>
      <w:bookmarkEnd w:id="8"/>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1、本项目评标方法：综合评分法</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综合评分法，是指在最大限度地满足招标文件实质性要求的前提下，按照招标文件中规定的各项因素进行综合评审，评标总得分排名前列的投标人，作为推荐的候选中标供应商。</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2、是否评标定标分离：</w:t>
      </w:r>
      <w:r>
        <w:rPr>
          <w:rFonts w:hint="eastAsia" w:eastAsia="MS Mincho" w:cs="MS Mincho" w:asciiTheme="minorEastAsia" w:hAnsiTheme="minorEastAsia"/>
          <w:sz w:val="21"/>
          <w:szCs w:val="21"/>
        </w:rPr>
        <w:t>☑</w:t>
      </w:r>
      <w:r>
        <w:rPr>
          <w:rFonts w:hint="eastAsia" w:asciiTheme="minorEastAsia" w:hAnsiTheme="minorEastAsia" w:eastAsiaTheme="minorEastAsia"/>
          <w:sz w:val="21"/>
          <w:szCs w:val="21"/>
        </w:rPr>
        <w:t>非评定分离/□评定分离（定标方法：自定法）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3、中标供应商及候选中标供应商数量：</w:t>
      </w:r>
      <w:r>
        <w:rPr>
          <w:rFonts w:hint="eastAsia" w:cs="仿宋" w:asciiTheme="minorEastAsia" w:hAnsiTheme="minorEastAsia" w:eastAsiaTheme="minorEastAsia"/>
          <w:kern w:val="2"/>
          <w:sz w:val="21"/>
          <w:szCs w:val="21"/>
        </w:rPr>
        <w:t>中标供应商数量：1名，候选中标供应商数量：1名。</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4、评标规则：</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评标时，评标委员会按照“</w:t>
      </w:r>
      <w:r>
        <w:rPr>
          <w:rFonts w:hint="eastAsia" w:asciiTheme="minorEastAsia" w:hAnsiTheme="minorEastAsia" w:eastAsiaTheme="minorEastAsia"/>
          <w:bCs/>
          <w:sz w:val="21"/>
          <w:szCs w:val="21"/>
        </w:rPr>
        <w:t>评标标准</w:t>
      </w:r>
      <w:r>
        <w:rPr>
          <w:rFonts w:hint="eastAsia" w:cs="仿宋" w:asciiTheme="minorEastAsia" w:hAnsiTheme="minorEastAsia" w:eastAsiaTheme="minorEastAsia"/>
          <w:kern w:val="2"/>
          <w:sz w:val="21"/>
          <w:szCs w:val="21"/>
        </w:rPr>
        <w:t>”中的各项评审因素，对通过资格性审查和符合性审查的所有投标人的投标文件进行独立评审，并汇总每个投标人的得分，取算术平均值后确定其评审得分</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精确至小数点后二位</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排名结果按投标人评审得分由高到低顺序排列。得分相同的，按投标报价由低到高顺序排列。出现得分且投标报价相同的并列情况时，采取随机抽取的方式排名，具体操作办法及流程由评标委员会确定。</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5、推荐候选中标供应商：</w:t>
      </w:r>
    </w:p>
    <w:p>
      <w:pPr>
        <w:pStyle w:val="45"/>
        <w:spacing w:before="0" w:beforeAutospacing="0" w:after="0" w:afterAutospacing="0" w:line="360" w:lineRule="exact"/>
        <w:ind w:firstLine="424" w:firstLineChars="177"/>
        <w:rPr>
          <w:rFonts w:cs="仿宋" w:asciiTheme="minorEastAsia" w:hAnsiTheme="minorEastAsia" w:eastAsiaTheme="minorEastAsia"/>
          <w:kern w:val="2"/>
          <w:sz w:val="21"/>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kern w:val="2"/>
          <w:sz w:val="21"/>
          <w:szCs w:val="21"/>
        </w:rPr>
        <w:t>非评定分离项目：由评标委员会推荐</w:t>
      </w:r>
      <w:r>
        <w:rPr>
          <w:rFonts w:hint="eastAsia" w:cs="仿宋" w:asciiTheme="minorEastAsia" w:hAnsiTheme="minorEastAsia" w:eastAsiaTheme="minorEastAsia"/>
          <w:b/>
          <w:kern w:val="2"/>
          <w:sz w:val="21"/>
          <w:szCs w:val="21"/>
        </w:rPr>
        <w:t>评标排名第一的投标人</w:t>
      </w:r>
      <w:r>
        <w:rPr>
          <w:rFonts w:hint="eastAsia" w:cs="仿宋" w:asciiTheme="minorEastAsia" w:hAnsiTheme="minorEastAsia" w:eastAsiaTheme="minorEastAsia"/>
          <w:kern w:val="2"/>
          <w:sz w:val="21"/>
          <w:szCs w:val="21"/>
        </w:rPr>
        <w:t>作为候选中标供应商。</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评定分离项目：由评标委员会推荐</w:t>
      </w:r>
      <w:r>
        <w:rPr>
          <w:rFonts w:hint="eastAsia" w:cs="仿宋" w:asciiTheme="minorEastAsia" w:hAnsiTheme="minorEastAsia" w:eastAsiaTheme="minorEastAsia"/>
          <w:b/>
          <w:szCs w:val="21"/>
        </w:rPr>
        <w:t>评标排名前三的投标人（无排序）</w:t>
      </w:r>
      <w:r>
        <w:rPr>
          <w:rFonts w:hint="eastAsia" w:cs="仿宋" w:asciiTheme="minorEastAsia" w:hAnsiTheme="minorEastAsia" w:eastAsiaTheme="minorEastAsia"/>
          <w:szCs w:val="21"/>
        </w:rPr>
        <w:t>作为候选中标供应商。</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6、确定中标供应商：</w:t>
      </w:r>
    </w:p>
    <w:p>
      <w:pPr>
        <w:spacing w:line="360" w:lineRule="exact"/>
        <w:ind w:firstLine="424" w:firstLineChars="202"/>
        <w:rPr>
          <w:rFonts w:cs="仿宋" w:asciiTheme="minorEastAsia" w:hAnsiTheme="minorEastAsia" w:eastAsiaTheme="minorEastAsia"/>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szCs w:val="21"/>
        </w:rPr>
        <w:t>非评定分离项目：采购人在评标报告确定的候选中标供应商名单中按顺序确定1名中标供应商。</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评定分离项目：采购人根据招标文件确定的定标方法，从评审报告推荐的候选中标供应商中确定1名中标供应商，并出具定标报告。</w:t>
      </w:r>
    </w:p>
    <w:p>
      <w:pPr>
        <w:spacing w:line="360" w:lineRule="auto"/>
        <w:ind w:firstLine="424" w:firstLineChars="202"/>
        <w:rPr>
          <w:rFonts w:asciiTheme="minorEastAsia" w:hAnsiTheme="minorEastAsia" w:eastAsiaTheme="minorEastAsia"/>
        </w:rPr>
      </w:pPr>
    </w:p>
    <w:p>
      <w:pPr>
        <w:pStyle w:val="4"/>
        <w:spacing w:before="0" w:after="0"/>
      </w:pPr>
      <w:bookmarkStart w:id="9" w:name="_Toc135293164"/>
      <w:r>
        <w:rPr>
          <w:rFonts w:hint="eastAsia"/>
        </w:rPr>
        <w:t>二、评标标准</w:t>
      </w:r>
      <w:bookmarkEnd w:id="9"/>
    </w:p>
    <w:p>
      <w:pPr>
        <w:spacing w:line="360" w:lineRule="auto"/>
        <w:ind w:firstLine="424" w:firstLineChars="202"/>
        <w:rPr>
          <w:rFonts w:asciiTheme="minorEastAsia" w:hAnsiTheme="minorEastAsia" w:eastAsiaTheme="minorEastAsia"/>
          <w:b/>
          <w:bCs/>
        </w:rPr>
      </w:pPr>
      <w:r>
        <w:rPr>
          <w:rFonts w:hint="eastAsia"/>
          <w:snapToGrid w:val="0"/>
          <w:kern w:val="0"/>
        </w:rPr>
        <w:t>评标委员会按照以下量化的评审因素，对各投标文件进行综合评审：</w:t>
      </w:r>
    </w:p>
    <w:tbl>
      <w:tblPr>
        <w:tblStyle w:val="5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54"/>
        <w:gridCol w:w="1143"/>
        <w:gridCol w:w="709"/>
        <w:gridCol w:w="5953"/>
        <w:gridCol w:w="11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8559" w:type="dxa"/>
            <w:gridSpan w:val="4"/>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b/>
                <w:sz w:val="21"/>
                <w:szCs w:val="21"/>
                <w:lang w:val="zh-CN"/>
              </w:rPr>
            </w:pPr>
            <w:r>
              <w:rPr>
                <w:rFonts w:hint="eastAsia" w:ascii="宋体" w:hAnsi="宋体" w:eastAsia="宋体" w:cs="宋体"/>
                <w:b/>
                <w:sz w:val="21"/>
                <w:szCs w:val="21"/>
                <w:lang w:val="zh-CN"/>
              </w:rPr>
              <w:t>评分项及评分规则</w:t>
            </w:r>
          </w:p>
        </w:tc>
        <w:tc>
          <w:tcPr>
            <w:tcW w:w="1187"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b/>
                <w:sz w:val="21"/>
                <w:szCs w:val="21"/>
                <w:lang w:val="zh-CN"/>
              </w:rPr>
            </w:pPr>
            <w:r>
              <w:rPr>
                <w:rFonts w:hint="eastAsia" w:ascii="宋体" w:hAnsi="宋体" w:eastAsia="宋体" w:cs="宋体"/>
                <w:b/>
                <w:sz w:val="21"/>
                <w:szCs w:val="21"/>
                <w:lang w:val="zh-CN"/>
              </w:rPr>
              <w:t>权重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8559" w:type="dxa"/>
            <w:gridSpan w:val="4"/>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b/>
                <w:sz w:val="21"/>
                <w:szCs w:val="21"/>
                <w:lang w:val="zh-CN"/>
              </w:rPr>
            </w:pPr>
            <w:r>
              <w:rPr>
                <w:rFonts w:hint="eastAsia" w:ascii="宋体" w:hAnsi="宋体" w:eastAsia="宋体" w:cs="宋体"/>
                <w:b/>
                <w:sz w:val="21"/>
                <w:szCs w:val="21"/>
                <w:lang w:val="zh-CN"/>
              </w:rPr>
              <w:t>一、价格部分</w:t>
            </w:r>
          </w:p>
        </w:tc>
        <w:tc>
          <w:tcPr>
            <w:tcW w:w="1187"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b/>
                <w:sz w:val="21"/>
                <w:szCs w:val="21"/>
              </w:rPr>
            </w:pPr>
            <w:r>
              <w:rPr>
                <w:rFonts w:hint="eastAsia" w:ascii="宋体" w:hAnsi="宋体" w:eastAsia="宋体" w:cs="宋体"/>
                <w:b/>
                <w:sz w:val="21"/>
                <w:szCs w:val="21"/>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8559" w:type="dxa"/>
            <w:gridSpan w:val="4"/>
            <w:vAlign w:val="center"/>
          </w:tcPr>
          <w:p>
            <w:pPr>
              <w:keepNext w:val="0"/>
              <w:keepLines w:val="0"/>
              <w:pageBreakBefore w:val="0"/>
              <w:widowControl/>
              <w:kinsoku/>
              <w:wordWrap/>
              <w:overflowPunct/>
              <w:topLinePunct w:val="0"/>
              <w:bidi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价格分采用低价优先法计算，即满足招标文件要求且投标价格最低的投标报价为评标基准价，其价格分为满分。其他投标人的价格分统一按照下列公式计算：</w:t>
            </w:r>
          </w:p>
          <w:p>
            <w:pPr>
              <w:keepNext w:val="0"/>
              <w:keepLines w:val="0"/>
              <w:pageBreakBefore w:val="0"/>
              <w:widowControl/>
              <w:kinsoku/>
              <w:wordWrap/>
              <w:overflowPunct/>
              <w:topLinePunct w:val="0"/>
              <w:bidi w:val="0"/>
              <w:spacing w:line="360" w:lineRule="auto"/>
              <w:jc w:val="left"/>
              <w:textAlignment w:val="auto"/>
              <w:rPr>
                <w:rFonts w:hint="eastAsia" w:ascii="宋体" w:hAnsi="宋体" w:eastAsia="宋体" w:cs="宋体"/>
                <w:sz w:val="21"/>
                <w:szCs w:val="21"/>
              </w:rPr>
            </w:pPr>
            <w:r>
              <w:rPr>
                <w:rFonts w:hint="eastAsia" w:ascii="宋体" w:hAnsi="宋体" w:eastAsia="宋体" w:cs="宋体"/>
                <w:sz w:val="21"/>
                <w:szCs w:val="21"/>
              </w:rPr>
              <w:t>投标报价得分=(评标基准价／投标报价)×权重</w:t>
            </w:r>
          </w:p>
          <w:p>
            <w:pPr>
              <w:keepNext w:val="0"/>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snapToGrid w:val="0"/>
                <w:kern w:val="0"/>
                <w:sz w:val="21"/>
                <w:szCs w:val="21"/>
              </w:rPr>
            </w:pPr>
            <w:r>
              <w:rPr>
                <w:rFonts w:hint="eastAsia" w:ascii="宋体" w:hAnsi="宋体" w:eastAsia="宋体" w:cs="宋体"/>
                <w:snapToGrid w:val="0"/>
                <w:kern w:val="0"/>
                <w:sz w:val="21"/>
                <w:szCs w:val="21"/>
              </w:rPr>
              <w:t>备注：</w:t>
            </w:r>
          </w:p>
          <w:p>
            <w:pPr>
              <w:keepNext w:val="0"/>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bCs/>
                <w:snapToGrid w:val="0"/>
                <w:kern w:val="0"/>
                <w:sz w:val="21"/>
                <w:szCs w:val="21"/>
              </w:rPr>
            </w:pPr>
            <w:r>
              <w:rPr>
                <w:rFonts w:hint="eastAsia" w:ascii="宋体" w:hAnsi="宋体" w:eastAsia="宋体" w:cs="宋体"/>
                <w:snapToGrid w:val="0"/>
                <w:kern w:val="0"/>
                <w:sz w:val="21"/>
                <w:szCs w:val="21"/>
              </w:rPr>
              <w:t>1、因落实政府采购政策进行价格调整的，以调整后的价格计算评标基准价和投标报价</w:t>
            </w:r>
            <w:r>
              <w:rPr>
                <w:rFonts w:hint="eastAsia" w:ascii="宋体" w:hAnsi="宋体" w:eastAsia="宋体" w:cs="宋体"/>
                <w:bCs/>
                <w:snapToGrid w:val="0"/>
                <w:kern w:val="0"/>
                <w:sz w:val="21"/>
                <w:szCs w:val="21"/>
              </w:rPr>
              <w:t>；</w:t>
            </w:r>
          </w:p>
          <w:p>
            <w:pPr>
              <w:keepNext w:val="0"/>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sz w:val="21"/>
                <w:szCs w:val="21"/>
              </w:rPr>
            </w:pPr>
            <w:r>
              <w:rPr>
                <w:rFonts w:hint="eastAsia" w:ascii="宋体" w:hAnsi="宋体" w:eastAsia="宋体" w:cs="宋体"/>
                <w:snapToGrid w:val="0"/>
                <w:kern w:val="0"/>
                <w:sz w:val="21"/>
                <w:szCs w:val="21"/>
              </w:rPr>
              <w:t>2、投标报价得分四舍五入后，小数点后保留两位有效数</w:t>
            </w:r>
            <w:r>
              <w:rPr>
                <w:rFonts w:hint="eastAsia" w:ascii="宋体" w:hAnsi="宋体" w:eastAsia="宋体" w:cs="宋体"/>
                <w:sz w:val="21"/>
                <w:szCs w:val="21"/>
              </w:rPr>
              <w:t>。</w:t>
            </w:r>
          </w:p>
        </w:tc>
        <w:tc>
          <w:tcPr>
            <w:tcW w:w="1187"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zh-CN"/>
              </w:rPr>
              <w:t>按公式计算评分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559" w:type="dxa"/>
            <w:gridSpan w:val="4"/>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b/>
                <w:sz w:val="21"/>
                <w:szCs w:val="21"/>
              </w:rPr>
            </w:pPr>
            <w:r>
              <w:rPr>
                <w:rFonts w:hint="eastAsia" w:ascii="宋体" w:hAnsi="宋体" w:eastAsia="宋体" w:cs="宋体"/>
                <w:b/>
                <w:sz w:val="21"/>
                <w:szCs w:val="21"/>
              </w:rPr>
              <w:t>二、技术部分</w:t>
            </w:r>
          </w:p>
        </w:tc>
        <w:tc>
          <w:tcPr>
            <w:tcW w:w="1187"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55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1" w:hRule="atLeast"/>
          <w:jc w:val="center"/>
        </w:trPr>
        <w:tc>
          <w:tcPr>
            <w:tcW w:w="754"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序号</w:t>
            </w:r>
          </w:p>
        </w:tc>
        <w:tc>
          <w:tcPr>
            <w:tcW w:w="1143"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内容</w:t>
            </w:r>
          </w:p>
        </w:tc>
        <w:tc>
          <w:tcPr>
            <w:tcW w:w="709"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权重</w:t>
            </w:r>
          </w:p>
        </w:tc>
        <w:tc>
          <w:tcPr>
            <w:tcW w:w="5953"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评分规则</w:t>
            </w:r>
          </w:p>
        </w:tc>
        <w:tc>
          <w:tcPr>
            <w:tcW w:w="1187"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47" w:hRule="atLeast"/>
          <w:jc w:val="center"/>
        </w:trPr>
        <w:tc>
          <w:tcPr>
            <w:tcW w:w="754"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1143" w:type="dxa"/>
            <w:vAlign w:val="center"/>
          </w:tcPr>
          <w:p>
            <w:pPr>
              <w:keepNext w:val="0"/>
              <w:keepLines w:val="0"/>
              <w:pageBreakBefore w:val="0"/>
              <w:widowControl/>
              <w:kinsoku/>
              <w:wordWrap/>
              <w:overflowPunct/>
              <w:topLinePunct w:val="0"/>
              <w:bidi w:val="0"/>
              <w:spacing w:line="36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服务方案</w:t>
            </w:r>
          </w:p>
        </w:tc>
        <w:tc>
          <w:tcPr>
            <w:tcW w:w="709" w:type="dxa"/>
            <w:vAlign w:val="center"/>
          </w:tcPr>
          <w:p>
            <w:pPr>
              <w:keepNext w:val="0"/>
              <w:keepLines w:val="0"/>
              <w:pageBreakBefore w:val="0"/>
              <w:widowControl/>
              <w:kinsoku/>
              <w:wordWrap/>
              <w:overflowPunct/>
              <w:topLinePunct w:val="0"/>
              <w:bidi w:val="0"/>
              <w:spacing w:line="360" w:lineRule="auto"/>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15</w:t>
            </w:r>
          </w:p>
        </w:tc>
        <w:tc>
          <w:tcPr>
            <w:tcW w:w="5953" w:type="dxa"/>
            <w:vAlign w:val="center"/>
          </w:tcPr>
          <w:p>
            <w:pPr>
              <w:pStyle w:val="94"/>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（一）评分内容：</w:t>
            </w: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kern w:val="0"/>
                <w:sz w:val="21"/>
                <w:szCs w:val="21"/>
              </w:rPr>
            </w:pPr>
            <w:r>
              <w:rPr>
                <w:rFonts w:hint="eastAsia" w:ascii="宋体" w:hAnsi="宋体" w:eastAsia="宋体" w:cs="宋体"/>
                <w:kern w:val="0"/>
                <w:sz w:val="21"/>
                <w:szCs w:val="21"/>
              </w:rPr>
              <w:t>投标人结合本项目需求提供项目</w:t>
            </w:r>
            <w:r>
              <w:rPr>
                <w:rFonts w:hint="eastAsia" w:ascii="宋体" w:hAnsi="宋体" w:eastAsia="宋体" w:cs="宋体"/>
                <w:kern w:val="0"/>
                <w:sz w:val="21"/>
                <w:szCs w:val="21"/>
                <w:lang w:val="en-US" w:eastAsia="zh-CN"/>
              </w:rPr>
              <w:t>服务</w:t>
            </w:r>
            <w:r>
              <w:rPr>
                <w:rFonts w:hint="eastAsia" w:ascii="宋体" w:hAnsi="宋体" w:eastAsia="宋体" w:cs="宋体"/>
                <w:kern w:val="0"/>
                <w:sz w:val="21"/>
                <w:szCs w:val="21"/>
              </w:rPr>
              <w:t>方案</w:t>
            </w:r>
            <w:r>
              <w:rPr>
                <w:rFonts w:hint="eastAsia" w:ascii="宋体" w:hAnsi="宋体" w:eastAsia="宋体" w:cs="宋体"/>
                <w:kern w:val="0"/>
                <w:sz w:val="21"/>
                <w:szCs w:val="21"/>
                <w:lang w:eastAsia="zh-CN"/>
              </w:rPr>
              <w:t>，包括下述内容</w:t>
            </w:r>
            <w:r>
              <w:rPr>
                <w:rFonts w:hint="eastAsia" w:ascii="宋体" w:hAnsi="宋体" w:eastAsia="宋体" w:cs="宋体"/>
                <w:kern w:val="0"/>
                <w:sz w:val="21"/>
                <w:szCs w:val="21"/>
              </w:rPr>
              <w:t>：</w:t>
            </w: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kern w:val="0"/>
                <w:sz w:val="21"/>
                <w:szCs w:val="21"/>
              </w:rPr>
            </w:pPr>
            <w:r>
              <w:rPr>
                <w:rFonts w:hint="eastAsia" w:ascii="宋体" w:hAnsi="宋体" w:eastAsia="宋体" w:cs="宋体"/>
                <w:kern w:val="0"/>
                <w:sz w:val="21"/>
                <w:szCs w:val="21"/>
              </w:rPr>
              <w:t>1.工作措施；</w:t>
            </w: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kern w:val="0"/>
                <w:sz w:val="21"/>
                <w:szCs w:val="21"/>
              </w:rPr>
            </w:pPr>
            <w:r>
              <w:rPr>
                <w:rFonts w:hint="eastAsia" w:ascii="宋体" w:hAnsi="宋体" w:eastAsia="宋体" w:cs="宋体"/>
                <w:kern w:val="0"/>
                <w:sz w:val="21"/>
                <w:szCs w:val="21"/>
              </w:rPr>
              <w:t>2.工作方法；</w:t>
            </w: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kern w:val="0"/>
                <w:sz w:val="21"/>
                <w:szCs w:val="21"/>
              </w:rPr>
            </w:pPr>
            <w:r>
              <w:rPr>
                <w:rFonts w:hint="eastAsia" w:ascii="宋体" w:hAnsi="宋体" w:eastAsia="宋体" w:cs="宋体"/>
                <w:kern w:val="0"/>
                <w:sz w:val="21"/>
                <w:szCs w:val="21"/>
              </w:rPr>
              <w:t>3.工作手段；</w:t>
            </w: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kern w:val="0"/>
                <w:sz w:val="21"/>
                <w:szCs w:val="21"/>
              </w:rPr>
            </w:pPr>
            <w:r>
              <w:rPr>
                <w:rFonts w:hint="eastAsia" w:ascii="宋体" w:hAnsi="宋体" w:eastAsia="宋体" w:cs="宋体"/>
                <w:kern w:val="0"/>
                <w:sz w:val="21"/>
                <w:szCs w:val="21"/>
              </w:rPr>
              <w:t>4.工作流程。</w:t>
            </w:r>
          </w:p>
          <w:p>
            <w:pPr>
              <w:keepNext w:val="0"/>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kern w:val="0"/>
                <w:sz w:val="21"/>
                <w:szCs w:val="21"/>
              </w:rPr>
            </w:pPr>
          </w:p>
          <w:p>
            <w:pPr>
              <w:keepNext w:val="0"/>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（二）评分标准：</w:t>
            </w:r>
          </w:p>
          <w:p>
            <w:pPr>
              <w:pStyle w:val="94"/>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kern w:val="0"/>
                <w:sz w:val="21"/>
                <w:szCs w:val="21"/>
              </w:rPr>
            </w:pPr>
            <w:r>
              <w:rPr>
                <w:rFonts w:hint="eastAsia" w:ascii="宋体" w:hAnsi="宋体" w:eastAsia="宋体" w:cs="宋体"/>
                <w:kern w:val="0"/>
                <w:sz w:val="21"/>
                <w:szCs w:val="21"/>
              </w:rPr>
              <w:t>方案包含以上四项内容得4分；包含以上三项内容得3分；包含以上二项内容得2分；包含以上一项内容得1分；其他情况不得分。在此基础上，根据方案响应情况进一步评审：</w:t>
            </w:r>
          </w:p>
          <w:p>
            <w:pPr>
              <w:pStyle w:val="94"/>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kern w:val="0"/>
                <w:sz w:val="21"/>
                <w:szCs w:val="21"/>
              </w:rPr>
            </w:pPr>
            <w:r>
              <w:rPr>
                <w:rFonts w:hint="eastAsia" w:ascii="宋体" w:hAnsi="宋体" w:eastAsia="宋体" w:cs="宋体"/>
                <w:kern w:val="0"/>
                <w:sz w:val="21"/>
                <w:szCs w:val="21"/>
              </w:rPr>
              <w:t>1.方案内容全面、具体，可行性高，加11分；</w:t>
            </w:r>
          </w:p>
          <w:p>
            <w:pPr>
              <w:pStyle w:val="94"/>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kern w:val="0"/>
                <w:sz w:val="21"/>
                <w:szCs w:val="21"/>
              </w:rPr>
            </w:pPr>
            <w:r>
              <w:rPr>
                <w:rFonts w:hint="eastAsia" w:ascii="宋体" w:hAnsi="宋体" w:eastAsia="宋体" w:cs="宋体"/>
                <w:kern w:val="0"/>
                <w:sz w:val="21"/>
                <w:szCs w:val="21"/>
              </w:rPr>
              <w:t>2.方案内容较全面，可行性较高，加7分；</w:t>
            </w:r>
          </w:p>
          <w:p>
            <w:pPr>
              <w:pStyle w:val="94"/>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kern w:val="0"/>
                <w:sz w:val="21"/>
                <w:szCs w:val="21"/>
              </w:rPr>
            </w:pPr>
            <w:r>
              <w:rPr>
                <w:rFonts w:hint="eastAsia" w:ascii="宋体" w:hAnsi="宋体" w:eastAsia="宋体" w:cs="宋体"/>
                <w:kern w:val="0"/>
                <w:sz w:val="21"/>
                <w:szCs w:val="21"/>
              </w:rPr>
              <w:t>3.方案全面性、可行性一般，加3分；</w:t>
            </w:r>
          </w:p>
          <w:p>
            <w:pPr>
              <w:pStyle w:val="94"/>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kern w:val="0"/>
                <w:sz w:val="21"/>
                <w:szCs w:val="21"/>
              </w:rPr>
            </w:pPr>
            <w:r>
              <w:rPr>
                <w:rFonts w:hint="eastAsia" w:ascii="宋体" w:hAnsi="宋体" w:eastAsia="宋体" w:cs="宋体"/>
                <w:kern w:val="0"/>
                <w:sz w:val="21"/>
                <w:szCs w:val="21"/>
              </w:rPr>
              <w:t>4.方案不全，可行性低，不加分。</w:t>
            </w:r>
          </w:p>
        </w:tc>
        <w:tc>
          <w:tcPr>
            <w:tcW w:w="1187"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07" w:hRule="atLeast"/>
          <w:jc w:val="center"/>
        </w:trPr>
        <w:tc>
          <w:tcPr>
            <w:tcW w:w="754"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1"/>
                <w:szCs w:val="21"/>
                <w:lang w:val="zh-CN"/>
              </w:rPr>
            </w:pPr>
            <w:r>
              <w:rPr>
                <w:rFonts w:hint="eastAsia" w:ascii="宋体" w:hAnsi="宋体" w:eastAsia="宋体" w:cs="宋体"/>
                <w:sz w:val="21"/>
                <w:szCs w:val="21"/>
              </w:rPr>
              <w:t>2</w:t>
            </w:r>
          </w:p>
        </w:tc>
        <w:tc>
          <w:tcPr>
            <w:tcW w:w="1143" w:type="dxa"/>
            <w:vAlign w:val="center"/>
          </w:tcPr>
          <w:p>
            <w:pPr>
              <w:keepNext w:val="0"/>
              <w:keepLines w:val="0"/>
              <w:pageBreakBefore w:val="0"/>
              <w:widowControl/>
              <w:kinsoku/>
              <w:wordWrap/>
              <w:overflowPunct/>
              <w:topLinePunct w:val="0"/>
              <w:bidi w:val="0"/>
              <w:spacing w:line="36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项目重点难点分析、应对措施及相关的合理化建议</w:t>
            </w:r>
          </w:p>
        </w:tc>
        <w:tc>
          <w:tcPr>
            <w:tcW w:w="709" w:type="dxa"/>
            <w:vAlign w:val="center"/>
          </w:tcPr>
          <w:p>
            <w:pPr>
              <w:keepNext w:val="0"/>
              <w:keepLines w:val="0"/>
              <w:pageBreakBefore w:val="0"/>
              <w:widowControl/>
              <w:kinsoku/>
              <w:wordWrap/>
              <w:overflowPunct/>
              <w:topLinePunct w:val="0"/>
              <w:bidi w:val="0"/>
              <w:spacing w:line="360" w:lineRule="auto"/>
              <w:jc w:val="center"/>
              <w:textAlignment w:val="auto"/>
              <w:rPr>
                <w:rFonts w:hint="eastAsia" w:ascii="宋体" w:hAnsi="宋体" w:eastAsia="宋体" w:cs="宋体"/>
                <w:kern w:val="0"/>
                <w:sz w:val="21"/>
                <w:szCs w:val="21"/>
                <w:lang w:val="en-US" w:eastAsia="zh-CN"/>
              </w:rPr>
            </w:pPr>
            <w:r>
              <w:rPr>
                <w:rFonts w:hint="eastAsia" w:ascii="宋体" w:hAnsi="宋体" w:eastAsia="宋体" w:cs="宋体"/>
                <w:sz w:val="21"/>
                <w:szCs w:val="21"/>
                <w:lang w:val="en-US" w:eastAsia="zh-CN"/>
              </w:rPr>
              <w:t>12</w:t>
            </w:r>
          </w:p>
        </w:tc>
        <w:tc>
          <w:tcPr>
            <w:tcW w:w="5953" w:type="dxa"/>
            <w:vAlign w:val="center"/>
          </w:tcPr>
          <w:p>
            <w:pPr>
              <w:pStyle w:val="94"/>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（一）评分内容：</w:t>
            </w: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kern w:val="0"/>
                <w:sz w:val="21"/>
                <w:szCs w:val="21"/>
              </w:rPr>
            </w:pPr>
            <w:r>
              <w:rPr>
                <w:rFonts w:hint="eastAsia" w:ascii="宋体" w:hAnsi="宋体" w:eastAsia="宋体" w:cs="宋体"/>
                <w:kern w:val="0"/>
                <w:sz w:val="21"/>
                <w:szCs w:val="21"/>
              </w:rPr>
              <w:t>投标人针对本项目需求提供对项目重点难点分析、应对措施及相关的合理化建议，包括下述内容：</w:t>
            </w: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kern w:val="0"/>
                <w:sz w:val="21"/>
                <w:szCs w:val="21"/>
              </w:rPr>
            </w:pPr>
            <w:r>
              <w:rPr>
                <w:rFonts w:hint="eastAsia" w:ascii="宋体" w:hAnsi="宋体" w:eastAsia="宋体" w:cs="宋体"/>
                <w:kern w:val="0"/>
                <w:sz w:val="21"/>
                <w:szCs w:val="21"/>
              </w:rPr>
              <w:t>1.项目重点难点分析；</w:t>
            </w: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kern w:val="0"/>
                <w:sz w:val="21"/>
                <w:szCs w:val="21"/>
              </w:rPr>
            </w:pPr>
            <w:r>
              <w:rPr>
                <w:rFonts w:hint="eastAsia" w:ascii="宋体" w:hAnsi="宋体" w:eastAsia="宋体" w:cs="宋体"/>
                <w:kern w:val="0"/>
                <w:sz w:val="21"/>
                <w:szCs w:val="21"/>
              </w:rPr>
              <w:t>2.针对项目重点难点逐项提出应对措施；</w:t>
            </w: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kern w:val="0"/>
                <w:sz w:val="21"/>
                <w:szCs w:val="21"/>
              </w:rPr>
            </w:pPr>
            <w:r>
              <w:rPr>
                <w:rFonts w:hint="eastAsia" w:ascii="宋体" w:hAnsi="宋体" w:eastAsia="宋体" w:cs="宋体"/>
                <w:kern w:val="0"/>
                <w:sz w:val="21"/>
                <w:szCs w:val="21"/>
              </w:rPr>
              <w:t>3.相关的合理化建议。</w:t>
            </w:r>
          </w:p>
          <w:p>
            <w:pPr>
              <w:keepNext w:val="0"/>
              <w:keepLines w:val="0"/>
              <w:pageBreakBefore w:val="0"/>
              <w:widowControl/>
              <w:kinsoku/>
              <w:wordWrap/>
              <w:overflowPunct/>
              <w:topLinePunct w:val="0"/>
              <w:bidi w:val="0"/>
              <w:snapToGrid w:val="0"/>
              <w:spacing w:line="360" w:lineRule="auto"/>
              <w:jc w:val="left"/>
              <w:textAlignment w:val="auto"/>
              <w:rPr>
                <w:rFonts w:hint="eastAsia" w:ascii="宋体" w:hAnsi="宋体" w:eastAsia="宋体" w:cs="宋体"/>
                <w:kern w:val="0"/>
                <w:sz w:val="21"/>
                <w:szCs w:val="21"/>
              </w:rPr>
            </w:pPr>
          </w:p>
          <w:p>
            <w:pPr>
              <w:keepNext w:val="0"/>
              <w:keepLines w:val="0"/>
              <w:pageBreakBefore w:val="0"/>
              <w:widowControl/>
              <w:kinsoku/>
              <w:wordWrap/>
              <w:overflowPunct/>
              <w:topLinePunct w:val="0"/>
              <w:bidi w:val="0"/>
              <w:snapToGrid w:val="0"/>
              <w:spacing w:line="36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（二）评分标准：</w:t>
            </w: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方案包含以上三项内容得3分；包含以上二项内容得2分；包含以上一项内容得1分；其他情况不得分。在此基础上，根据方案响应情况进一步评审：</w:t>
            </w:r>
          </w:p>
          <w:p>
            <w:pPr>
              <w:pStyle w:val="94"/>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kern w:val="0"/>
                <w:sz w:val="21"/>
                <w:szCs w:val="21"/>
              </w:rPr>
            </w:pPr>
            <w:r>
              <w:rPr>
                <w:rFonts w:hint="eastAsia" w:ascii="宋体" w:hAnsi="宋体" w:eastAsia="宋体" w:cs="宋体"/>
                <w:kern w:val="0"/>
                <w:sz w:val="21"/>
                <w:szCs w:val="21"/>
              </w:rPr>
              <w:t>1.方案内容全面、具体，可行性高，加</w:t>
            </w:r>
            <w:r>
              <w:rPr>
                <w:rFonts w:hint="eastAsia" w:ascii="宋体" w:hAnsi="宋体" w:eastAsia="宋体" w:cs="宋体"/>
                <w:kern w:val="0"/>
                <w:sz w:val="21"/>
                <w:szCs w:val="21"/>
                <w:lang w:val="en-US" w:eastAsia="zh-CN"/>
              </w:rPr>
              <w:t>9</w:t>
            </w:r>
            <w:r>
              <w:rPr>
                <w:rFonts w:hint="eastAsia" w:ascii="宋体" w:hAnsi="宋体" w:eastAsia="宋体" w:cs="宋体"/>
                <w:kern w:val="0"/>
                <w:sz w:val="21"/>
                <w:szCs w:val="21"/>
              </w:rPr>
              <w:t>分；</w:t>
            </w:r>
          </w:p>
          <w:p>
            <w:pPr>
              <w:pStyle w:val="94"/>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kern w:val="0"/>
                <w:sz w:val="21"/>
                <w:szCs w:val="21"/>
              </w:rPr>
            </w:pPr>
            <w:r>
              <w:rPr>
                <w:rFonts w:hint="eastAsia" w:ascii="宋体" w:hAnsi="宋体" w:eastAsia="宋体" w:cs="宋体"/>
                <w:kern w:val="0"/>
                <w:sz w:val="21"/>
                <w:szCs w:val="21"/>
              </w:rPr>
              <w:t>2.方案内容较全面，可行性较高，加</w:t>
            </w:r>
            <w:r>
              <w:rPr>
                <w:rFonts w:hint="eastAsia" w:ascii="宋体" w:hAnsi="宋体" w:eastAsia="宋体" w:cs="宋体"/>
                <w:kern w:val="0"/>
                <w:sz w:val="21"/>
                <w:szCs w:val="21"/>
                <w:lang w:val="en-US" w:eastAsia="zh-CN"/>
              </w:rPr>
              <w:t>6</w:t>
            </w:r>
            <w:r>
              <w:rPr>
                <w:rFonts w:hint="eastAsia" w:ascii="宋体" w:hAnsi="宋体" w:eastAsia="宋体" w:cs="宋体"/>
                <w:kern w:val="0"/>
                <w:sz w:val="21"/>
                <w:szCs w:val="21"/>
              </w:rPr>
              <w:t>分；</w:t>
            </w:r>
          </w:p>
          <w:p>
            <w:pPr>
              <w:pStyle w:val="94"/>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kern w:val="0"/>
                <w:sz w:val="21"/>
                <w:szCs w:val="21"/>
              </w:rPr>
            </w:pPr>
            <w:r>
              <w:rPr>
                <w:rFonts w:hint="eastAsia" w:ascii="宋体" w:hAnsi="宋体" w:eastAsia="宋体" w:cs="宋体"/>
                <w:kern w:val="0"/>
                <w:sz w:val="21"/>
                <w:szCs w:val="21"/>
              </w:rPr>
              <w:t>3.方案全面性、可行性一般，加3分；</w:t>
            </w: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sz w:val="21"/>
                <w:szCs w:val="21"/>
              </w:rPr>
            </w:pPr>
            <w:r>
              <w:rPr>
                <w:rFonts w:hint="eastAsia" w:ascii="宋体" w:hAnsi="宋体" w:eastAsia="宋体" w:cs="宋体"/>
                <w:kern w:val="0"/>
                <w:sz w:val="21"/>
                <w:szCs w:val="21"/>
              </w:rPr>
              <w:t>4.方案不全，可行性低，不加分。</w:t>
            </w:r>
          </w:p>
        </w:tc>
        <w:tc>
          <w:tcPr>
            <w:tcW w:w="1187" w:type="dxa"/>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1"/>
                <w:szCs w:val="21"/>
                <w:lang w:val="zh-CN"/>
              </w:rPr>
            </w:pPr>
            <w:r>
              <w:rPr>
                <w:rFonts w:hint="eastAsia" w:ascii="宋体" w:hAnsi="宋体" w:eastAsia="宋体" w:cs="宋体"/>
                <w:sz w:val="21"/>
                <w:szCs w:val="21"/>
              </w:rPr>
              <w:t>评委</w:t>
            </w:r>
            <w:r>
              <w:rPr>
                <w:rFonts w:hint="eastAsia" w:ascii="宋体" w:hAnsi="宋体" w:eastAsia="宋体" w:cs="宋体"/>
                <w:sz w:val="21"/>
                <w:szCs w:val="21"/>
                <w:lang w:val="zh-CN"/>
              </w:rPr>
              <w:t>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54"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3</w:t>
            </w:r>
          </w:p>
        </w:tc>
        <w:tc>
          <w:tcPr>
            <w:tcW w:w="1143" w:type="dxa"/>
            <w:vAlign w:val="center"/>
          </w:tcPr>
          <w:p>
            <w:pPr>
              <w:keepNext w:val="0"/>
              <w:keepLines w:val="0"/>
              <w:pageBreakBefore w:val="0"/>
              <w:widowControl/>
              <w:kinsoku/>
              <w:wordWrap/>
              <w:overflowPunct/>
              <w:topLinePunct w:val="0"/>
              <w:bidi w:val="0"/>
              <w:spacing w:line="360" w:lineRule="auto"/>
              <w:jc w:val="center"/>
              <w:textAlignment w:val="auto"/>
              <w:rPr>
                <w:rFonts w:hint="eastAsia" w:ascii="宋体" w:hAnsi="宋体" w:eastAsia="宋体" w:cs="宋体"/>
                <w:kern w:val="0"/>
                <w:sz w:val="21"/>
                <w:szCs w:val="21"/>
              </w:rPr>
            </w:pPr>
            <w:r>
              <w:rPr>
                <w:rFonts w:hint="eastAsia" w:ascii="宋体" w:hAnsi="宋体" w:eastAsia="宋体" w:cs="宋体"/>
                <w:kern w:val="0"/>
                <w:sz w:val="21"/>
                <w:szCs w:val="21"/>
              </w:rPr>
              <w:t>违约承诺</w:t>
            </w:r>
          </w:p>
        </w:tc>
        <w:tc>
          <w:tcPr>
            <w:tcW w:w="709" w:type="dxa"/>
            <w:vAlign w:val="center"/>
          </w:tcPr>
          <w:p>
            <w:pPr>
              <w:keepNext w:val="0"/>
              <w:keepLines w:val="0"/>
              <w:pageBreakBefore w:val="0"/>
              <w:widowControl/>
              <w:kinsoku/>
              <w:wordWrap/>
              <w:overflowPunct/>
              <w:topLinePunct w:val="0"/>
              <w:bidi w:val="0"/>
              <w:spacing w:line="360" w:lineRule="auto"/>
              <w:jc w:val="center"/>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5</w:t>
            </w:r>
          </w:p>
        </w:tc>
        <w:tc>
          <w:tcPr>
            <w:tcW w:w="5953" w:type="dxa"/>
            <w:vAlign w:val="center"/>
          </w:tcPr>
          <w:p>
            <w:pPr>
              <w:keepNext w:val="0"/>
              <w:keepLines w:val="0"/>
              <w:pageBreakBefore w:val="0"/>
              <w:widowControl/>
              <w:kinsoku/>
              <w:wordWrap/>
              <w:overflowPunct/>
              <w:topLinePunct w:val="0"/>
              <w:bidi w:val="0"/>
              <w:snapToGrid w:val="0"/>
              <w:spacing w:line="36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（一）评分内容：</w:t>
            </w:r>
          </w:p>
          <w:p>
            <w:pPr>
              <w:keepNext w:val="0"/>
              <w:keepLines w:val="0"/>
              <w:pageBreakBefore w:val="0"/>
              <w:widowControl/>
              <w:kinsoku/>
              <w:wordWrap/>
              <w:overflowPunct/>
              <w:topLinePunct w:val="0"/>
              <w:bidi w:val="0"/>
              <w:snapToGrid w:val="0"/>
              <w:spacing w:line="36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投标人提供项目违约承诺，满足以下全部要求的得3分，否则不得分。</w:t>
            </w:r>
          </w:p>
          <w:p>
            <w:pPr>
              <w:keepNext w:val="0"/>
              <w:keepLines w:val="0"/>
              <w:pageBreakBefore w:val="0"/>
              <w:widowControl/>
              <w:kinsoku/>
              <w:wordWrap/>
              <w:overflowPunct/>
              <w:topLinePunct w:val="0"/>
              <w:bidi w:val="0"/>
              <w:snapToGrid w:val="0"/>
              <w:spacing w:line="36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（1）人员严格按照招标文件及投标承诺配置； </w:t>
            </w:r>
          </w:p>
          <w:p>
            <w:pPr>
              <w:keepNext w:val="0"/>
              <w:keepLines w:val="0"/>
              <w:pageBreakBefore w:val="0"/>
              <w:widowControl/>
              <w:kinsoku/>
              <w:wordWrap/>
              <w:overflowPunct/>
              <w:topLinePunct w:val="0"/>
              <w:bidi w:val="0"/>
              <w:snapToGrid w:val="0"/>
              <w:spacing w:line="36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 xml:space="preserve">（2）服务质量达到招标文件要求； </w:t>
            </w:r>
          </w:p>
          <w:p>
            <w:pPr>
              <w:keepNext w:val="0"/>
              <w:keepLines w:val="0"/>
              <w:pageBreakBefore w:val="0"/>
              <w:widowControl/>
              <w:kinsoku/>
              <w:wordWrap/>
              <w:overflowPunct/>
              <w:topLinePunct w:val="0"/>
              <w:bidi w:val="0"/>
              <w:snapToGrid w:val="0"/>
              <w:spacing w:line="36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（3）对未能达到的管理要求承担管理责任。</w:t>
            </w:r>
          </w:p>
          <w:p>
            <w:pPr>
              <w:keepNext w:val="0"/>
              <w:keepLines w:val="0"/>
              <w:pageBreakBefore w:val="0"/>
              <w:widowControl/>
              <w:kinsoku/>
              <w:wordWrap/>
              <w:overflowPunct/>
              <w:topLinePunct w:val="0"/>
              <w:bidi w:val="0"/>
              <w:snapToGrid w:val="0"/>
              <w:spacing w:line="360" w:lineRule="auto"/>
              <w:jc w:val="left"/>
              <w:textAlignment w:val="auto"/>
              <w:rPr>
                <w:rFonts w:hint="eastAsia" w:ascii="宋体" w:hAnsi="宋体" w:eastAsia="宋体" w:cs="宋体"/>
                <w:kern w:val="0"/>
                <w:sz w:val="21"/>
                <w:szCs w:val="21"/>
              </w:rPr>
            </w:pPr>
          </w:p>
          <w:p>
            <w:pPr>
              <w:keepNext w:val="0"/>
              <w:keepLines w:val="0"/>
              <w:pageBreakBefore w:val="0"/>
              <w:widowControl/>
              <w:kinsoku/>
              <w:wordWrap/>
              <w:overflowPunct/>
              <w:topLinePunct w:val="0"/>
              <w:bidi w:val="0"/>
              <w:snapToGrid w:val="0"/>
              <w:spacing w:line="36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（二）评分依据：</w:t>
            </w:r>
          </w:p>
          <w:p>
            <w:pPr>
              <w:keepNext w:val="0"/>
              <w:keepLines w:val="0"/>
              <w:pageBreakBefore w:val="0"/>
              <w:widowControl/>
              <w:kinsoku/>
              <w:wordWrap/>
              <w:overflowPunct/>
              <w:topLinePunct w:val="0"/>
              <w:bidi w:val="0"/>
              <w:snapToGrid w:val="0"/>
              <w:spacing w:line="36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提供《违约承诺函》（格式自定）作为得分依据，未提供承诺或承诺内容不满足要求不得分。</w:t>
            </w:r>
          </w:p>
        </w:tc>
        <w:tc>
          <w:tcPr>
            <w:tcW w:w="1187"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54"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1143" w:type="dxa"/>
            <w:vAlign w:val="center"/>
          </w:tcPr>
          <w:p>
            <w:pPr>
              <w:keepNext w:val="0"/>
              <w:keepLines w:val="0"/>
              <w:pageBreakBefore w:val="0"/>
              <w:widowControl/>
              <w:kinsoku/>
              <w:wordWrap/>
              <w:overflowPunct/>
              <w:topLinePunct w:val="0"/>
              <w:bidi w:val="0"/>
              <w:spacing w:line="360" w:lineRule="auto"/>
              <w:jc w:val="center"/>
              <w:textAlignment w:val="auto"/>
              <w:rPr>
                <w:rFonts w:hint="eastAsia" w:ascii="宋体" w:hAnsi="宋体" w:eastAsia="宋体" w:cs="宋体"/>
                <w:kern w:val="0"/>
                <w:sz w:val="21"/>
                <w:szCs w:val="21"/>
                <w:lang w:val="en-US" w:eastAsia="zh-CN"/>
              </w:rPr>
            </w:pPr>
            <w:r>
              <w:rPr>
                <w:rFonts w:hint="eastAsia" w:ascii="宋体" w:hAnsi="宋体" w:eastAsia="宋体" w:cs="宋体"/>
                <w:sz w:val="21"/>
                <w:szCs w:val="21"/>
              </w:rPr>
              <w:t>响应时间</w:t>
            </w:r>
            <w:r>
              <w:rPr>
                <w:rFonts w:hint="eastAsia" w:ascii="宋体" w:hAnsi="宋体" w:eastAsia="宋体" w:cs="宋体"/>
                <w:sz w:val="21"/>
                <w:szCs w:val="21"/>
                <w:lang w:val="en-US" w:eastAsia="zh-CN"/>
              </w:rPr>
              <w:t>承诺</w:t>
            </w:r>
          </w:p>
        </w:tc>
        <w:tc>
          <w:tcPr>
            <w:tcW w:w="709" w:type="dxa"/>
            <w:vAlign w:val="center"/>
          </w:tcPr>
          <w:p>
            <w:pPr>
              <w:keepNext w:val="0"/>
              <w:keepLines w:val="0"/>
              <w:pageBreakBefore w:val="0"/>
              <w:widowControl/>
              <w:kinsoku/>
              <w:wordWrap/>
              <w:overflowPunct/>
              <w:topLinePunct w:val="0"/>
              <w:bidi w:val="0"/>
              <w:spacing w:line="360" w:lineRule="auto"/>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w:t>
            </w:r>
          </w:p>
        </w:tc>
        <w:tc>
          <w:tcPr>
            <w:tcW w:w="5953" w:type="dxa"/>
            <w:vAlign w:val="center"/>
          </w:tcPr>
          <w:p>
            <w:pPr>
              <w:keepNext w:val="0"/>
              <w:keepLines w:val="0"/>
              <w:pageBreakBefore w:val="0"/>
              <w:widowControl/>
              <w:kinsoku/>
              <w:wordWrap/>
              <w:overflowPunct/>
              <w:topLinePunct w:val="0"/>
              <w:bidi w:val="0"/>
              <w:snapToGrid w:val="0"/>
              <w:spacing w:line="36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（一）评分内容：</w:t>
            </w:r>
          </w:p>
          <w:p>
            <w:pPr>
              <w:keepNext w:val="0"/>
              <w:keepLines w:val="0"/>
              <w:pageBreakBefore w:val="0"/>
              <w:widowControl/>
              <w:kinsoku/>
              <w:wordWrap/>
              <w:overflowPunct/>
              <w:topLinePunct w:val="0"/>
              <w:bidi w:val="0"/>
              <w:snapToGrid w:val="0"/>
              <w:spacing w:line="36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投标人提供响应时间承诺，承诺满足以下内容相对应得分：</w:t>
            </w:r>
          </w:p>
          <w:p>
            <w:pPr>
              <w:keepNext w:val="0"/>
              <w:keepLines w:val="0"/>
              <w:pageBreakBefore w:val="0"/>
              <w:widowControl/>
              <w:kinsoku/>
              <w:wordWrap/>
              <w:overflowPunct/>
              <w:topLinePunct w:val="0"/>
              <w:bidi w:val="0"/>
              <w:snapToGrid w:val="0"/>
              <w:spacing w:line="36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（1）接到采购人通知后，承诺在2小时</w:t>
            </w:r>
            <w:r>
              <w:rPr>
                <w:rFonts w:hint="eastAsia" w:ascii="宋体" w:hAnsi="宋体" w:eastAsia="宋体" w:cs="宋体"/>
                <w:kern w:val="0"/>
                <w:sz w:val="21"/>
                <w:szCs w:val="21"/>
                <w:lang w:eastAsia="zh-CN"/>
              </w:rPr>
              <w:t>（</w:t>
            </w:r>
            <w:r>
              <w:rPr>
                <w:rFonts w:hint="eastAsia" w:ascii="宋体" w:hAnsi="宋体" w:eastAsia="宋体" w:cs="宋体"/>
                <w:kern w:val="0"/>
                <w:sz w:val="21"/>
                <w:szCs w:val="21"/>
                <w:lang w:val="en-US" w:eastAsia="zh-CN"/>
              </w:rPr>
              <w:t>含</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内响应并抵达现场的，得3分；</w:t>
            </w:r>
          </w:p>
          <w:p>
            <w:pPr>
              <w:keepNext w:val="0"/>
              <w:keepLines w:val="0"/>
              <w:pageBreakBefore w:val="0"/>
              <w:widowControl/>
              <w:kinsoku/>
              <w:wordWrap/>
              <w:overflowPunct/>
              <w:topLinePunct w:val="0"/>
              <w:bidi w:val="0"/>
              <w:snapToGrid w:val="0"/>
              <w:spacing w:line="36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（2）接到采购人通知后，承诺在2小时以上，5小时</w:t>
            </w:r>
            <w:r>
              <w:rPr>
                <w:rFonts w:hint="eastAsia" w:ascii="宋体" w:hAnsi="宋体" w:eastAsia="宋体" w:cs="宋体"/>
                <w:kern w:val="0"/>
                <w:sz w:val="21"/>
                <w:szCs w:val="21"/>
                <w:lang w:eastAsia="zh-CN"/>
              </w:rPr>
              <w:t>（</w:t>
            </w:r>
            <w:r>
              <w:rPr>
                <w:rFonts w:hint="eastAsia" w:ascii="宋体" w:hAnsi="宋体" w:eastAsia="宋体" w:cs="宋体"/>
                <w:kern w:val="0"/>
                <w:sz w:val="21"/>
                <w:szCs w:val="21"/>
                <w:lang w:val="en-US" w:eastAsia="zh-CN"/>
              </w:rPr>
              <w:t>含</w:t>
            </w:r>
            <w:r>
              <w:rPr>
                <w:rFonts w:hint="eastAsia" w:ascii="宋体" w:hAnsi="宋体" w:eastAsia="宋体" w:cs="宋体"/>
                <w:kern w:val="0"/>
                <w:sz w:val="21"/>
                <w:szCs w:val="21"/>
                <w:lang w:eastAsia="zh-CN"/>
              </w:rPr>
              <w:t>）</w:t>
            </w:r>
            <w:r>
              <w:rPr>
                <w:rFonts w:hint="eastAsia" w:ascii="宋体" w:hAnsi="宋体" w:eastAsia="宋体" w:cs="宋体"/>
                <w:kern w:val="0"/>
                <w:sz w:val="21"/>
                <w:szCs w:val="21"/>
              </w:rPr>
              <w:t>内响应并抵达现场的，得1分；</w:t>
            </w:r>
          </w:p>
          <w:p>
            <w:pPr>
              <w:keepNext w:val="0"/>
              <w:keepLines w:val="0"/>
              <w:pageBreakBefore w:val="0"/>
              <w:widowControl/>
              <w:kinsoku/>
              <w:wordWrap/>
              <w:overflowPunct/>
              <w:topLinePunct w:val="0"/>
              <w:bidi w:val="0"/>
              <w:snapToGrid w:val="0"/>
              <w:spacing w:line="36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（3）其他情况不得分</w:t>
            </w:r>
            <w:r>
              <w:rPr>
                <w:rFonts w:hint="eastAsia" w:ascii="宋体" w:hAnsi="宋体" w:eastAsia="宋体" w:cs="宋体"/>
                <w:kern w:val="0"/>
                <w:sz w:val="21"/>
                <w:szCs w:val="21"/>
                <w:lang w:eastAsia="zh-CN"/>
              </w:rPr>
              <w:t>，</w:t>
            </w:r>
            <w:r>
              <w:rPr>
                <w:rFonts w:hint="eastAsia" w:ascii="宋体" w:hAnsi="宋体" w:eastAsia="宋体" w:cs="宋体"/>
                <w:kern w:val="0"/>
                <w:sz w:val="21"/>
                <w:szCs w:val="21"/>
                <w:lang w:val="en-US" w:eastAsia="zh-CN"/>
              </w:rPr>
              <w:t>本项</w:t>
            </w:r>
            <w:r>
              <w:rPr>
                <w:rFonts w:hint="eastAsia" w:ascii="宋体" w:hAnsi="宋体" w:eastAsia="宋体" w:cs="宋体"/>
                <w:kern w:val="0"/>
                <w:sz w:val="21"/>
                <w:szCs w:val="21"/>
              </w:rPr>
              <w:t>最高得3分。</w:t>
            </w:r>
          </w:p>
          <w:p>
            <w:pPr>
              <w:keepNext w:val="0"/>
              <w:keepLines w:val="0"/>
              <w:pageBreakBefore w:val="0"/>
              <w:widowControl/>
              <w:kinsoku/>
              <w:wordWrap/>
              <w:overflowPunct/>
              <w:topLinePunct w:val="0"/>
              <w:bidi w:val="0"/>
              <w:snapToGrid w:val="0"/>
              <w:spacing w:line="360" w:lineRule="auto"/>
              <w:jc w:val="left"/>
              <w:textAlignment w:val="auto"/>
              <w:rPr>
                <w:rFonts w:hint="eastAsia" w:ascii="宋体" w:hAnsi="宋体" w:eastAsia="宋体" w:cs="宋体"/>
                <w:kern w:val="0"/>
                <w:sz w:val="21"/>
                <w:szCs w:val="21"/>
              </w:rPr>
            </w:pPr>
          </w:p>
          <w:p>
            <w:pPr>
              <w:keepNext w:val="0"/>
              <w:keepLines w:val="0"/>
              <w:pageBreakBefore w:val="0"/>
              <w:widowControl/>
              <w:kinsoku/>
              <w:wordWrap/>
              <w:overflowPunct/>
              <w:topLinePunct w:val="0"/>
              <w:bidi w:val="0"/>
              <w:snapToGrid w:val="0"/>
              <w:spacing w:line="36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（二）评分依据：</w:t>
            </w:r>
          </w:p>
          <w:p>
            <w:pPr>
              <w:keepNext w:val="0"/>
              <w:keepLines w:val="0"/>
              <w:pageBreakBefore w:val="0"/>
              <w:widowControl/>
              <w:kinsoku/>
              <w:wordWrap/>
              <w:overflowPunct/>
              <w:topLinePunct w:val="0"/>
              <w:bidi w:val="0"/>
              <w:snapToGrid w:val="0"/>
              <w:spacing w:line="36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提供《响应时间承诺函》（格式自定）作为得分依据，未提供承诺或承诺内容不满足要求不得分。</w:t>
            </w:r>
          </w:p>
        </w:tc>
        <w:tc>
          <w:tcPr>
            <w:tcW w:w="1187"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921" w:hRule="atLeast"/>
          <w:jc w:val="center"/>
        </w:trPr>
        <w:tc>
          <w:tcPr>
            <w:tcW w:w="754" w:type="dxa"/>
            <w:vAlign w:val="center"/>
          </w:tcPr>
          <w:p>
            <w:pPr>
              <w:keepNext w:val="0"/>
              <w:keepLines w:val="0"/>
              <w:pageBreakBefore w:val="0"/>
              <w:widowControl/>
              <w:kinsoku/>
              <w:wordWrap/>
              <w:overflowPunct/>
              <w:topLinePunct w:val="0"/>
              <w:bidi w:val="0"/>
              <w:snapToGrid w:val="0"/>
              <w:spacing w:line="360" w:lineRule="auto"/>
              <w:jc w:val="center"/>
              <w:textAlignment w:val="auto"/>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5</w:t>
            </w:r>
          </w:p>
        </w:tc>
        <w:tc>
          <w:tcPr>
            <w:tcW w:w="1143" w:type="dxa"/>
            <w:vAlign w:val="center"/>
          </w:tcPr>
          <w:p>
            <w:pPr>
              <w:keepNext w:val="0"/>
              <w:keepLines w:val="0"/>
              <w:pageBreakBefore w:val="0"/>
              <w:widowControl/>
              <w:kinsoku/>
              <w:wordWrap/>
              <w:overflowPunct/>
              <w:topLinePunct w:val="0"/>
              <w:bidi w:val="0"/>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项目团队</w:t>
            </w:r>
            <w:r>
              <w:rPr>
                <w:rFonts w:hint="eastAsia" w:ascii="宋体" w:hAnsi="宋体" w:eastAsia="宋体" w:cs="宋体"/>
                <w:sz w:val="21"/>
                <w:szCs w:val="21"/>
              </w:rPr>
              <w:t>人员要求</w:t>
            </w:r>
          </w:p>
        </w:tc>
        <w:tc>
          <w:tcPr>
            <w:tcW w:w="709" w:type="dxa"/>
            <w:vAlign w:val="center"/>
          </w:tcPr>
          <w:p>
            <w:pPr>
              <w:keepNext w:val="0"/>
              <w:keepLines w:val="0"/>
              <w:pageBreakBefore w:val="0"/>
              <w:widowControl/>
              <w:kinsoku/>
              <w:wordWrap/>
              <w:overflowPunct/>
              <w:topLinePunct w:val="0"/>
              <w:bidi w:val="0"/>
              <w:spacing w:line="360" w:lineRule="auto"/>
              <w:jc w:val="center"/>
              <w:textAlignment w:val="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w:t>
            </w:r>
          </w:p>
        </w:tc>
        <w:tc>
          <w:tcPr>
            <w:tcW w:w="5953" w:type="dxa"/>
            <w:vAlign w:val="center"/>
          </w:tcPr>
          <w:p>
            <w:pPr>
              <w:pStyle w:val="94"/>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（一）评分内容：</w:t>
            </w:r>
          </w:p>
          <w:p>
            <w:pPr>
              <w:pStyle w:val="94"/>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拟安排的项目</w:t>
            </w:r>
            <w:r>
              <w:rPr>
                <w:rFonts w:hint="eastAsia" w:ascii="宋体" w:hAnsi="宋体" w:eastAsia="宋体" w:cs="宋体"/>
                <w:sz w:val="21"/>
                <w:szCs w:val="21"/>
                <w:lang w:val="en-US" w:eastAsia="zh-CN"/>
              </w:rPr>
              <w:t>团队</w:t>
            </w:r>
            <w:r>
              <w:rPr>
                <w:rFonts w:hint="eastAsia" w:ascii="宋体" w:hAnsi="宋体" w:eastAsia="宋体" w:cs="宋体"/>
                <w:sz w:val="21"/>
                <w:szCs w:val="21"/>
              </w:rPr>
              <w:t>人员需为投标人正式聘任员工，否则本项不得分。在此基础上，按以下标准评分：</w:t>
            </w:r>
          </w:p>
          <w:p>
            <w:pPr>
              <w:pStyle w:val="94"/>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（1）项目</w:t>
            </w:r>
            <w:r>
              <w:rPr>
                <w:rFonts w:hint="eastAsia" w:ascii="宋体" w:hAnsi="宋体" w:eastAsia="宋体" w:cs="宋体"/>
                <w:sz w:val="21"/>
                <w:szCs w:val="21"/>
                <w:lang w:val="en-US" w:eastAsia="zh-CN"/>
              </w:rPr>
              <w:t>团队</w:t>
            </w:r>
            <w:r>
              <w:rPr>
                <w:rFonts w:hint="eastAsia" w:ascii="宋体" w:hAnsi="宋体" w:eastAsia="宋体" w:cs="宋体"/>
                <w:sz w:val="21"/>
                <w:szCs w:val="21"/>
              </w:rPr>
              <w:t>人员具有兽用生物制品检验员证的，每提供1人得10分，</w:t>
            </w:r>
            <w:r>
              <w:rPr>
                <w:rFonts w:hint="eastAsia" w:ascii="宋体" w:hAnsi="宋体" w:eastAsia="宋体" w:cs="宋体"/>
                <w:sz w:val="21"/>
                <w:szCs w:val="21"/>
                <w:lang w:val="en-US" w:eastAsia="zh-CN"/>
              </w:rPr>
              <w:t>此小项</w:t>
            </w:r>
            <w:r>
              <w:rPr>
                <w:rFonts w:hint="eastAsia" w:ascii="宋体" w:hAnsi="宋体" w:eastAsia="宋体" w:cs="宋体"/>
                <w:sz w:val="21"/>
                <w:szCs w:val="21"/>
              </w:rPr>
              <w:t>最高得10分；</w:t>
            </w:r>
          </w:p>
          <w:p>
            <w:pPr>
              <w:pStyle w:val="94"/>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（2）项目</w:t>
            </w:r>
            <w:r>
              <w:rPr>
                <w:rFonts w:hint="eastAsia" w:ascii="宋体" w:hAnsi="宋体" w:eastAsia="宋体" w:cs="宋体"/>
                <w:sz w:val="21"/>
                <w:szCs w:val="21"/>
                <w:lang w:val="en-US" w:eastAsia="zh-CN"/>
              </w:rPr>
              <w:t>团队</w:t>
            </w:r>
            <w:r>
              <w:rPr>
                <w:rFonts w:hint="eastAsia" w:ascii="宋体" w:hAnsi="宋体" w:eastAsia="宋体" w:cs="宋体"/>
                <w:sz w:val="21"/>
                <w:szCs w:val="21"/>
              </w:rPr>
              <w:t>人员具有高层次专业人才证书的，每提供1人得10分，</w:t>
            </w:r>
            <w:r>
              <w:rPr>
                <w:rFonts w:hint="eastAsia" w:ascii="宋体" w:hAnsi="宋体" w:eastAsia="宋体" w:cs="宋体"/>
                <w:sz w:val="21"/>
                <w:szCs w:val="21"/>
                <w:lang w:val="en-US" w:eastAsia="zh-CN"/>
              </w:rPr>
              <w:t>此小项</w:t>
            </w:r>
            <w:r>
              <w:rPr>
                <w:rFonts w:hint="eastAsia" w:ascii="宋体" w:hAnsi="宋体" w:eastAsia="宋体" w:cs="宋体"/>
                <w:sz w:val="21"/>
                <w:szCs w:val="21"/>
              </w:rPr>
              <w:t>最高得10分。</w:t>
            </w:r>
          </w:p>
          <w:p>
            <w:pPr>
              <w:pStyle w:val="94"/>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注：同一人员不可累计得分，如同一人员具有上述多个证书的，按得分最优情况计分。以上累计最高得20分。</w:t>
            </w: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kern w:val="0"/>
                <w:sz w:val="21"/>
                <w:szCs w:val="21"/>
              </w:rPr>
            </w:pPr>
          </w:p>
          <w:p>
            <w:pPr>
              <w:keepNext w:val="0"/>
              <w:keepLines w:val="0"/>
              <w:pageBreakBefore w:val="0"/>
              <w:kinsoku/>
              <w:wordWrap/>
              <w:overflowPunct/>
              <w:topLinePunct w:val="0"/>
              <w:autoSpaceDE w:val="0"/>
              <w:autoSpaceDN w:val="0"/>
              <w:bidi w:val="0"/>
              <w:adjustRightInd w:val="0"/>
              <w:spacing w:line="360" w:lineRule="auto"/>
              <w:textAlignment w:val="auto"/>
              <w:rPr>
                <w:rFonts w:hint="eastAsia" w:ascii="宋体" w:hAnsi="宋体" w:eastAsia="宋体" w:cs="宋体"/>
                <w:kern w:val="0"/>
                <w:sz w:val="21"/>
                <w:szCs w:val="21"/>
              </w:rPr>
            </w:pPr>
            <w:r>
              <w:rPr>
                <w:rFonts w:hint="eastAsia" w:ascii="宋体" w:hAnsi="宋体" w:eastAsia="宋体" w:cs="宋体"/>
                <w:kern w:val="0"/>
                <w:sz w:val="21"/>
                <w:szCs w:val="21"/>
              </w:rPr>
              <w:t>（二）评分依据：</w:t>
            </w:r>
          </w:p>
          <w:p>
            <w:pPr>
              <w:pStyle w:val="94"/>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1.提供项目</w:t>
            </w:r>
            <w:r>
              <w:rPr>
                <w:rFonts w:hint="eastAsia" w:ascii="宋体" w:hAnsi="宋体" w:eastAsia="宋体" w:cs="宋体"/>
                <w:sz w:val="21"/>
                <w:szCs w:val="21"/>
                <w:lang w:val="en-US" w:eastAsia="zh-CN"/>
              </w:rPr>
              <w:t>团队</w:t>
            </w:r>
            <w:r>
              <w:rPr>
                <w:rFonts w:hint="eastAsia" w:ascii="宋体" w:hAnsi="宋体" w:eastAsia="宋体" w:cs="宋体"/>
                <w:sz w:val="21"/>
                <w:szCs w:val="21"/>
              </w:rPr>
              <w:t>人员通过投标单位缴纳的载有社保部门或税务部门公章的近三个月内任意一个月的个人社保证明，如供应商为新成立单位且成立时间不足一个月的，可提供加盖公章的情况说明或者证明材料亦视为符合。如为退休返聘人员则提供劳动合同或返聘协议；</w:t>
            </w:r>
          </w:p>
          <w:p>
            <w:pPr>
              <w:pStyle w:val="94"/>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2.提供项目</w:t>
            </w:r>
            <w:r>
              <w:rPr>
                <w:rFonts w:hint="eastAsia" w:ascii="宋体" w:hAnsi="宋体" w:eastAsia="宋体" w:cs="宋体"/>
                <w:sz w:val="21"/>
                <w:szCs w:val="21"/>
                <w:lang w:val="en-US" w:eastAsia="zh-CN"/>
              </w:rPr>
              <w:t>团队</w:t>
            </w:r>
            <w:r>
              <w:rPr>
                <w:rFonts w:hint="eastAsia" w:ascii="宋体" w:hAnsi="宋体" w:eastAsia="宋体" w:cs="宋体"/>
                <w:sz w:val="21"/>
                <w:szCs w:val="21"/>
              </w:rPr>
              <w:t>人员</w:t>
            </w:r>
            <w:r>
              <w:rPr>
                <w:rFonts w:hint="eastAsia" w:ascii="宋体" w:hAnsi="宋体" w:eastAsia="宋体" w:cs="宋体"/>
                <w:sz w:val="21"/>
                <w:szCs w:val="21"/>
                <w:lang w:val="en-US" w:eastAsia="zh-CN"/>
              </w:rPr>
              <w:t>上述</w:t>
            </w:r>
            <w:r>
              <w:rPr>
                <w:rFonts w:hint="eastAsia" w:ascii="宋体" w:hAnsi="宋体" w:eastAsia="宋体" w:cs="宋体"/>
                <w:iCs/>
                <w:sz w:val="21"/>
                <w:szCs w:val="21"/>
              </w:rPr>
              <w:t>相对应的证书作为</w:t>
            </w:r>
            <w:r>
              <w:rPr>
                <w:rFonts w:hint="eastAsia" w:ascii="宋体" w:hAnsi="宋体" w:eastAsia="宋体" w:cs="宋体"/>
                <w:iCs/>
                <w:sz w:val="21"/>
                <w:szCs w:val="21"/>
                <w:lang w:val="en-US" w:eastAsia="zh-CN"/>
              </w:rPr>
              <w:t>评分</w:t>
            </w:r>
            <w:r>
              <w:rPr>
                <w:rFonts w:hint="eastAsia" w:ascii="宋体" w:hAnsi="宋体" w:eastAsia="宋体" w:cs="宋体"/>
                <w:iCs/>
                <w:sz w:val="21"/>
                <w:szCs w:val="21"/>
              </w:rPr>
              <w:t>依据</w:t>
            </w:r>
            <w:r>
              <w:rPr>
                <w:rFonts w:hint="eastAsia" w:ascii="宋体" w:hAnsi="宋体" w:eastAsia="宋体" w:cs="宋体"/>
                <w:sz w:val="21"/>
                <w:szCs w:val="21"/>
              </w:rPr>
              <w:t>；</w:t>
            </w:r>
          </w:p>
          <w:p>
            <w:pPr>
              <w:pStyle w:val="94"/>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.提供以上证明文件复印件或扫描件，如涉及网站截图或照片等证明材料，需提供清晰图片，均要求加盖投标人公章，原件备查。未按要求提供有效证明材料或提供不清晰导致评委无法识别的不计得分。</w:t>
            </w:r>
          </w:p>
        </w:tc>
        <w:tc>
          <w:tcPr>
            <w:tcW w:w="1187" w:type="dxa"/>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1"/>
                <w:szCs w:val="21"/>
                <w:lang w:val="zh-CN"/>
              </w:rPr>
            </w:pPr>
            <w:r>
              <w:rPr>
                <w:rFonts w:hint="eastAsia" w:ascii="宋体" w:hAnsi="宋体" w:eastAsia="宋体" w:cs="宋体"/>
                <w:sz w:val="21"/>
                <w:szCs w:val="21"/>
              </w:rPr>
              <w:t>评委</w:t>
            </w:r>
            <w:r>
              <w:rPr>
                <w:rFonts w:hint="eastAsia" w:ascii="宋体" w:hAnsi="宋体" w:eastAsia="宋体" w:cs="宋体"/>
                <w:sz w:val="21"/>
                <w:szCs w:val="21"/>
                <w:lang w:val="zh-CN"/>
              </w:rPr>
              <w:t>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8559" w:type="dxa"/>
            <w:gridSpan w:val="4"/>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b/>
                <w:sz w:val="21"/>
                <w:szCs w:val="21"/>
              </w:rPr>
            </w:pPr>
            <w:r>
              <w:rPr>
                <w:rFonts w:hint="eastAsia" w:ascii="宋体" w:hAnsi="宋体" w:eastAsia="宋体" w:cs="宋体"/>
                <w:b/>
                <w:sz w:val="21"/>
                <w:szCs w:val="21"/>
                <w:lang w:val="zh-CN"/>
              </w:rPr>
              <w:t>三、商务部分</w:t>
            </w:r>
          </w:p>
        </w:tc>
        <w:tc>
          <w:tcPr>
            <w:tcW w:w="1187"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35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754"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zh-CN"/>
              </w:rPr>
              <w:t>序号</w:t>
            </w:r>
          </w:p>
        </w:tc>
        <w:tc>
          <w:tcPr>
            <w:tcW w:w="1143"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zh-CN"/>
              </w:rPr>
              <w:t>内容</w:t>
            </w:r>
          </w:p>
        </w:tc>
        <w:tc>
          <w:tcPr>
            <w:tcW w:w="709"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zh-CN"/>
              </w:rPr>
              <w:t>权重</w:t>
            </w:r>
          </w:p>
        </w:tc>
        <w:tc>
          <w:tcPr>
            <w:tcW w:w="5953"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zh-CN"/>
              </w:rPr>
              <w:t>评分规则</w:t>
            </w:r>
          </w:p>
        </w:tc>
        <w:tc>
          <w:tcPr>
            <w:tcW w:w="1187"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lang w:val="zh-CN"/>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754"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1</w:t>
            </w:r>
          </w:p>
        </w:tc>
        <w:tc>
          <w:tcPr>
            <w:tcW w:w="1143" w:type="dxa"/>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kern w:val="0"/>
                <w:sz w:val="21"/>
                <w:szCs w:val="21"/>
              </w:rPr>
            </w:pPr>
            <w:r>
              <w:rPr>
                <w:rFonts w:hint="eastAsia" w:ascii="宋体" w:hAnsi="宋体" w:eastAsia="宋体" w:cs="宋体"/>
                <w:color w:val="000000"/>
                <w:kern w:val="0"/>
                <w:sz w:val="21"/>
                <w:szCs w:val="21"/>
              </w:rPr>
              <w:t>企业资质情况</w:t>
            </w:r>
          </w:p>
        </w:tc>
        <w:tc>
          <w:tcPr>
            <w:tcW w:w="709" w:type="dxa"/>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kern w:val="0"/>
                <w:sz w:val="21"/>
                <w:szCs w:val="21"/>
                <w:lang w:val="en-US" w:eastAsia="zh-CN"/>
              </w:rPr>
            </w:pPr>
            <w:r>
              <w:rPr>
                <w:rFonts w:hint="eastAsia" w:ascii="宋体" w:hAnsi="宋体" w:eastAsia="宋体" w:cs="宋体"/>
                <w:sz w:val="21"/>
                <w:szCs w:val="21"/>
                <w:lang w:val="en-US" w:eastAsia="zh-CN"/>
              </w:rPr>
              <w:t>20</w:t>
            </w:r>
          </w:p>
        </w:tc>
        <w:tc>
          <w:tcPr>
            <w:tcW w:w="5953" w:type="dxa"/>
            <w:vAlign w:val="center"/>
          </w:tcPr>
          <w:p>
            <w:pPr>
              <w:pStyle w:val="94"/>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（一）评分内容：</w:t>
            </w:r>
          </w:p>
          <w:p>
            <w:pPr>
              <w:keepNext w:val="0"/>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1</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投标人具</w:t>
            </w:r>
            <w:r>
              <w:rPr>
                <w:rFonts w:hint="eastAsia" w:ascii="宋体" w:hAnsi="宋体" w:eastAsia="宋体" w:cs="宋体"/>
                <w:kern w:val="0"/>
                <w:sz w:val="21"/>
                <w:szCs w:val="21"/>
                <w:lang w:val="en-US" w:eastAsia="zh-CN"/>
              </w:rPr>
              <w:t>有</w:t>
            </w:r>
            <w:r>
              <w:rPr>
                <w:rFonts w:hint="eastAsia" w:ascii="宋体" w:hAnsi="宋体" w:eastAsia="宋体" w:cs="宋体"/>
                <w:kern w:val="0"/>
                <w:sz w:val="21"/>
                <w:szCs w:val="21"/>
              </w:rPr>
              <w:t>ISO13485医疗器械质量管理体系认证</w:t>
            </w:r>
            <w:r>
              <w:rPr>
                <w:rFonts w:hint="eastAsia" w:ascii="宋体" w:hAnsi="宋体" w:eastAsia="宋体" w:cs="宋体"/>
                <w:kern w:val="0"/>
                <w:sz w:val="21"/>
                <w:szCs w:val="21"/>
                <w:lang w:val="en-US" w:eastAsia="zh-CN"/>
              </w:rPr>
              <w:t>证书</w:t>
            </w:r>
            <w:r>
              <w:rPr>
                <w:rFonts w:hint="eastAsia" w:ascii="宋体" w:hAnsi="宋体" w:eastAsia="宋体" w:cs="宋体"/>
                <w:kern w:val="0"/>
                <w:sz w:val="21"/>
                <w:szCs w:val="21"/>
              </w:rPr>
              <w:t>的，得10分；</w:t>
            </w:r>
          </w:p>
          <w:p>
            <w:pPr>
              <w:keepNext w:val="0"/>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2</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投标人具</w:t>
            </w:r>
            <w:r>
              <w:rPr>
                <w:rFonts w:hint="eastAsia" w:ascii="宋体" w:hAnsi="宋体" w:eastAsia="宋体" w:cs="宋体"/>
                <w:kern w:val="0"/>
                <w:sz w:val="21"/>
                <w:szCs w:val="21"/>
                <w:lang w:val="en-US" w:eastAsia="zh-CN"/>
              </w:rPr>
              <w:t>有</w:t>
            </w:r>
            <w:r>
              <w:rPr>
                <w:rFonts w:hint="eastAsia" w:ascii="宋体" w:hAnsi="宋体" w:eastAsia="宋体" w:cs="宋体"/>
                <w:kern w:val="0"/>
                <w:sz w:val="21"/>
                <w:szCs w:val="21"/>
              </w:rPr>
              <w:t>CNAS认证且认证项目包括狂犬病病毒抗体检测（FAVN试验）或委托具备CNAS认证且认证项目包括狂犬病病毒抗体检测（FAVN试验）的实验室开展检测的，得10分。</w:t>
            </w:r>
          </w:p>
          <w:p>
            <w:pPr>
              <w:keepNext w:val="0"/>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注：以上累计最高得20分。</w:t>
            </w:r>
          </w:p>
          <w:p>
            <w:pPr>
              <w:keepNext w:val="0"/>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kern w:val="0"/>
                <w:sz w:val="21"/>
                <w:szCs w:val="21"/>
              </w:rPr>
            </w:pPr>
          </w:p>
          <w:p>
            <w:pPr>
              <w:keepNext w:val="0"/>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（二）评分依据：</w:t>
            </w:r>
          </w:p>
          <w:p>
            <w:pPr>
              <w:keepNext w:val="0"/>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1</w:t>
            </w:r>
            <w:r>
              <w:rPr>
                <w:rFonts w:hint="eastAsia" w:ascii="宋体" w:hAnsi="宋体" w:eastAsia="宋体" w:cs="宋体"/>
                <w:kern w:val="0"/>
                <w:sz w:val="21"/>
                <w:szCs w:val="21"/>
              </w:rPr>
              <w:t>.认证证书</w:t>
            </w:r>
            <w:r>
              <w:rPr>
                <w:rFonts w:hint="eastAsia" w:ascii="宋体" w:hAnsi="宋体" w:eastAsia="宋体" w:cs="宋体"/>
                <w:kern w:val="0"/>
                <w:sz w:val="21"/>
                <w:szCs w:val="21"/>
                <w:lang w:val="en-US" w:eastAsia="zh-CN"/>
              </w:rPr>
              <w:t>需</w:t>
            </w:r>
            <w:r>
              <w:rPr>
                <w:rFonts w:hint="eastAsia" w:ascii="宋体" w:hAnsi="宋体" w:eastAsia="宋体" w:cs="宋体"/>
                <w:kern w:val="0"/>
                <w:sz w:val="21"/>
                <w:szCs w:val="21"/>
              </w:rPr>
              <w:t>同时提供以下材料，否则不得分：①有效期内的认证证书；②提供认证证书官网或权威机构【如：全国认证认可信息公共服务平台（cx.cnca.cn）】认证信息查询截图（截图需显示证书状态为有效）。</w:t>
            </w:r>
            <w:r>
              <w:rPr>
                <w:rFonts w:hint="eastAsia" w:ascii="宋体" w:hAnsi="宋体" w:eastAsia="宋体" w:cs="宋体"/>
                <w:kern w:val="0"/>
                <w:sz w:val="21"/>
                <w:szCs w:val="21"/>
                <w:lang w:val="zh-CN"/>
              </w:rPr>
              <w:t>相关证书在公开渠道无法查询的，投标人需提供颁发部门或者监管机构的证明材料，证明证书真实有效且为合法机构颁发。</w:t>
            </w:r>
          </w:p>
          <w:p>
            <w:pPr>
              <w:keepNext w:val="0"/>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2</w:t>
            </w:r>
            <w:r>
              <w:rPr>
                <w:rFonts w:hint="eastAsia" w:ascii="宋体" w:hAnsi="宋体" w:eastAsia="宋体" w:cs="宋体"/>
                <w:kern w:val="0"/>
                <w:sz w:val="21"/>
                <w:szCs w:val="21"/>
                <w:lang w:val="en-US" w:eastAsia="zh-CN"/>
              </w:rPr>
              <w:t>.</w:t>
            </w:r>
            <w:r>
              <w:rPr>
                <w:rFonts w:hint="eastAsia" w:ascii="宋体" w:hAnsi="宋体" w:eastAsia="宋体" w:cs="宋体"/>
                <w:kern w:val="0"/>
                <w:sz w:val="21"/>
                <w:szCs w:val="21"/>
              </w:rPr>
              <w:t>投标人实验室具备CNAS认证的，提供有效的CNAS认证证书和认可的检测能力范围；投标人委托具备CNAS认证实验室检测的，除了提供上述材料外，需同时提供投标人与该实验室的分包合作证明材料。</w:t>
            </w:r>
          </w:p>
          <w:p>
            <w:pPr>
              <w:keepNext w:val="0"/>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3</w:t>
            </w:r>
            <w:r>
              <w:rPr>
                <w:rFonts w:hint="eastAsia" w:ascii="宋体" w:hAnsi="宋体" w:eastAsia="宋体" w:cs="宋体"/>
                <w:kern w:val="0"/>
                <w:sz w:val="21"/>
                <w:szCs w:val="21"/>
              </w:rPr>
              <w:t>.</w:t>
            </w:r>
            <w:r>
              <w:rPr>
                <w:rFonts w:hint="eastAsia" w:ascii="宋体" w:hAnsi="宋体" w:eastAsia="宋体" w:cs="宋体"/>
                <w:sz w:val="21"/>
                <w:szCs w:val="21"/>
              </w:rPr>
              <w:t>提供以上证明文件复印件或扫描件，如涉及网站截图或照片等证明材料,需提供清晰图片,均要求加盖投标人公章,原件备查。未按要求提供有效证明材料或提供不清晰导致评委无法识别的不计得分</w:t>
            </w:r>
            <w:r>
              <w:rPr>
                <w:rFonts w:hint="eastAsia" w:ascii="宋体" w:hAnsi="宋体" w:eastAsia="宋体" w:cs="宋体"/>
                <w:sz w:val="21"/>
                <w:szCs w:val="21"/>
                <w:lang w:val="zh-CN"/>
              </w:rPr>
              <w:t>。</w:t>
            </w:r>
          </w:p>
        </w:tc>
        <w:tc>
          <w:tcPr>
            <w:tcW w:w="1187"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1"/>
                <w:szCs w:val="21"/>
                <w:lang w:val="zh-CN"/>
              </w:rPr>
            </w:pPr>
            <w:r>
              <w:rPr>
                <w:rFonts w:hint="eastAsia" w:ascii="宋体" w:hAnsi="宋体" w:eastAsia="宋体" w:cs="宋体"/>
                <w:sz w:val="21"/>
                <w:szCs w:val="21"/>
              </w:rPr>
              <w:t>评委</w:t>
            </w:r>
            <w:r>
              <w:rPr>
                <w:rFonts w:hint="eastAsia" w:ascii="宋体" w:hAnsi="宋体" w:eastAsia="宋体" w:cs="宋体"/>
                <w:sz w:val="21"/>
                <w:szCs w:val="21"/>
                <w:lang w:val="zh-CN"/>
              </w:rPr>
              <w:t>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754"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1"/>
                <w:szCs w:val="21"/>
                <w:lang w:val="zh-CN"/>
              </w:rPr>
            </w:pPr>
            <w:r>
              <w:rPr>
                <w:rFonts w:hint="eastAsia" w:ascii="宋体" w:hAnsi="宋体" w:eastAsia="宋体" w:cs="宋体"/>
                <w:sz w:val="21"/>
                <w:szCs w:val="21"/>
              </w:rPr>
              <w:t>2</w:t>
            </w:r>
          </w:p>
        </w:tc>
        <w:tc>
          <w:tcPr>
            <w:tcW w:w="1143" w:type="dxa"/>
            <w:vAlign w:val="center"/>
          </w:tcPr>
          <w:p>
            <w:pPr>
              <w:keepNext w:val="0"/>
              <w:keepLines w:val="0"/>
              <w:pageBreakBefore w:val="0"/>
              <w:kinsoku/>
              <w:wordWrap/>
              <w:overflowPunct/>
              <w:topLinePunct w:val="0"/>
              <w:bidi w:val="0"/>
              <w:adjustRightInd w:val="0"/>
              <w:snapToGrid w:val="0"/>
              <w:spacing w:line="360" w:lineRule="auto"/>
              <w:jc w:val="center"/>
              <w:textAlignment w:val="auto"/>
              <w:rPr>
                <w:rFonts w:hint="eastAsia" w:ascii="宋体" w:hAnsi="宋体" w:eastAsia="宋体" w:cs="宋体"/>
                <w:snapToGrid w:val="0"/>
                <w:kern w:val="0"/>
                <w:sz w:val="21"/>
                <w:szCs w:val="21"/>
              </w:rPr>
            </w:pPr>
            <w:r>
              <w:rPr>
                <w:rFonts w:hint="eastAsia" w:ascii="宋体" w:hAnsi="宋体" w:eastAsia="宋体" w:cs="宋体"/>
                <w:color w:val="000000"/>
                <w:kern w:val="0"/>
                <w:sz w:val="21"/>
                <w:szCs w:val="21"/>
              </w:rPr>
              <w:t>同类项目业绩情况</w:t>
            </w:r>
          </w:p>
        </w:tc>
        <w:tc>
          <w:tcPr>
            <w:tcW w:w="709" w:type="dxa"/>
            <w:vAlign w:val="center"/>
          </w:tcPr>
          <w:p>
            <w:pPr>
              <w:keepNext w:val="0"/>
              <w:keepLines w:val="0"/>
              <w:pageBreakBefore w:val="0"/>
              <w:kinsoku/>
              <w:wordWrap/>
              <w:overflowPunct/>
              <w:topLinePunct w:val="0"/>
              <w:bidi w:val="0"/>
              <w:adjustRightInd w:val="0"/>
              <w:snapToGrid w:val="0"/>
              <w:spacing w:line="360" w:lineRule="auto"/>
              <w:jc w:val="center"/>
              <w:textAlignment w:val="auto"/>
              <w:rPr>
                <w:rFonts w:hint="eastAsia" w:ascii="宋体" w:hAnsi="宋体" w:eastAsia="宋体" w:cs="宋体"/>
                <w:snapToGrid w:val="0"/>
                <w:kern w:val="0"/>
                <w:sz w:val="21"/>
                <w:szCs w:val="21"/>
                <w:lang w:val="en-US" w:eastAsia="zh-CN"/>
              </w:rPr>
            </w:pPr>
            <w:r>
              <w:rPr>
                <w:rFonts w:hint="eastAsia" w:ascii="宋体" w:hAnsi="宋体" w:eastAsia="宋体" w:cs="宋体"/>
                <w:snapToGrid w:val="0"/>
                <w:kern w:val="0"/>
                <w:sz w:val="21"/>
                <w:szCs w:val="21"/>
                <w:lang w:val="en-US" w:eastAsia="zh-CN"/>
              </w:rPr>
              <w:t>10</w:t>
            </w:r>
          </w:p>
        </w:tc>
        <w:tc>
          <w:tcPr>
            <w:tcW w:w="5953" w:type="dxa"/>
            <w:vAlign w:val="center"/>
          </w:tcPr>
          <w:p>
            <w:pPr>
              <w:pStyle w:val="94"/>
              <w:keepNext w:val="0"/>
              <w:keepLines w:val="0"/>
              <w:pageBreakBefore w:val="0"/>
              <w:kinsoku/>
              <w:wordWrap/>
              <w:overflowPunct/>
              <w:topLinePunct w:val="0"/>
              <w:bidi w:val="0"/>
              <w:spacing w:line="36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（一）评分内容：</w:t>
            </w:r>
          </w:p>
          <w:p>
            <w:pPr>
              <w:keepNext w:val="0"/>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202</w:t>
            </w:r>
            <w:r>
              <w:rPr>
                <w:rFonts w:hint="eastAsia" w:ascii="宋体" w:hAnsi="宋体" w:eastAsia="宋体" w:cs="宋体"/>
                <w:sz w:val="21"/>
                <w:szCs w:val="21"/>
                <w:lang w:val="en-US" w:eastAsia="zh-CN"/>
              </w:rPr>
              <w:t>1</w:t>
            </w:r>
            <w:r>
              <w:rPr>
                <w:rFonts w:hint="eastAsia" w:ascii="宋体" w:hAnsi="宋体" w:eastAsia="宋体" w:cs="宋体"/>
                <w:sz w:val="21"/>
                <w:szCs w:val="21"/>
              </w:rPr>
              <w:t>年1月1日至本项目投标截止日（以合同签订日期为准），投标人具有同类项目业绩的，每提供一个项目得5分，最高得10分。</w:t>
            </w:r>
          </w:p>
          <w:p>
            <w:pPr>
              <w:keepNext w:val="0"/>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kern w:val="0"/>
                <w:sz w:val="21"/>
                <w:szCs w:val="21"/>
              </w:rPr>
            </w:pPr>
          </w:p>
          <w:p>
            <w:pPr>
              <w:keepNext w:val="0"/>
              <w:keepLines w:val="0"/>
              <w:pageBreakBefore w:val="0"/>
              <w:kinsoku/>
              <w:wordWrap/>
              <w:overflowPunct/>
              <w:topLinePunct w:val="0"/>
              <w:autoSpaceDE w:val="0"/>
              <w:autoSpaceDN w:val="0"/>
              <w:bidi w:val="0"/>
              <w:adjustRightInd w:val="0"/>
              <w:spacing w:line="360" w:lineRule="auto"/>
              <w:jc w:val="left"/>
              <w:textAlignment w:val="auto"/>
              <w:rPr>
                <w:rFonts w:hint="eastAsia" w:ascii="宋体" w:hAnsi="宋体" w:eastAsia="宋体" w:cs="宋体"/>
                <w:kern w:val="0"/>
                <w:sz w:val="21"/>
                <w:szCs w:val="21"/>
              </w:rPr>
            </w:pPr>
            <w:r>
              <w:rPr>
                <w:rFonts w:hint="eastAsia" w:ascii="宋体" w:hAnsi="宋体" w:eastAsia="宋体" w:cs="宋体"/>
                <w:kern w:val="0"/>
                <w:sz w:val="21"/>
                <w:szCs w:val="21"/>
              </w:rPr>
              <w:t>（二）评分依据：</w:t>
            </w:r>
          </w:p>
          <w:p>
            <w:pPr>
              <w:keepNext w:val="0"/>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1.提供合同关键页（关键信息包括但不仅限于合同的项目名称、服务内容、合同服务期限、甲乙双方签字盖章页）</w:t>
            </w:r>
            <w:r>
              <w:rPr>
                <w:rFonts w:hint="eastAsia" w:ascii="宋体" w:hAnsi="宋体" w:eastAsia="宋体" w:cs="宋体"/>
                <w:bCs/>
                <w:sz w:val="21"/>
                <w:szCs w:val="21"/>
              </w:rPr>
              <w:t>且提供的材料各项信息不得有任何遮挡</w:t>
            </w:r>
            <w:r>
              <w:rPr>
                <w:rFonts w:hint="eastAsia" w:ascii="宋体" w:hAnsi="宋体" w:eastAsia="宋体" w:cs="宋体"/>
                <w:sz w:val="21"/>
                <w:szCs w:val="21"/>
              </w:rPr>
              <w:t>；</w:t>
            </w:r>
          </w:p>
          <w:p>
            <w:pPr>
              <w:keepNext w:val="0"/>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sz w:val="21"/>
                <w:szCs w:val="21"/>
              </w:rPr>
            </w:pPr>
            <w:r>
              <w:rPr>
                <w:rFonts w:hint="eastAsia" w:ascii="宋体" w:hAnsi="宋体" w:eastAsia="宋体" w:cs="宋体"/>
                <w:sz w:val="21"/>
                <w:szCs w:val="21"/>
              </w:rPr>
              <w:t>2.通过合同关键信息无法判断是否得分的，还需提供能证明得分的其它证明资料，如项目报告或合同甲方出具的证明文件；</w:t>
            </w:r>
          </w:p>
          <w:p>
            <w:pPr>
              <w:keepNext w:val="0"/>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b/>
                <w:bCs/>
                <w:kern w:val="0"/>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.提供以上证明文件复印件或扫描件，如涉及网站截图或照片等证明材料,需提供清晰图片,均要求加盖投标人公章,原件备查。未按要求提供有效证明材料或提供不清晰导致评委无法识别的不计得分。</w:t>
            </w:r>
          </w:p>
        </w:tc>
        <w:tc>
          <w:tcPr>
            <w:tcW w:w="1187" w:type="dxa"/>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1"/>
                <w:szCs w:val="21"/>
                <w:lang w:val="zh-CN"/>
              </w:rPr>
            </w:pPr>
            <w:r>
              <w:rPr>
                <w:rFonts w:hint="eastAsia" w:ascii="宋体" w:hAnsi="宋体" w:eastAsia="宋体" w:cs="宋体"/>
                <w:sz w:val="21"/>
                <w:szCs w:val="21"/>
              </w:rPr>
              <w:t>评委</w:t>
            </w:r>
            <w:r>
              <w:rPr>
                <w:rFonts w:hint="eastAsia" w:ascii="宋体" w:hAnsi="宋体" w:eastAsia="宋体" w:cs="宋体"/>
                <w:sz w:val="21"/>
                <w:szCs w:val="21"/>
                <w:lang w:val="zh-CN"/>
              </w:rPr>
              <w:t>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54" w:type="dxa"/>
            <w:vAlign w:val="center"/>
          </w:tcPr>
          <w:p>
            <w:pPr>
              <w:keepNext w:val="0"/>
              <w:keepLines w:val="0"/>
              <w:pageBreakBefore w:val="0"/>
              <w:kinsoku/>
              <w:wordWrap/>
              <w:overflowPunct/>
              <w:topLinePunct w:val="0"/>
              <w:autoSpaceDE w:val="0"/>
              <w:autoSpaceDN w:val="0"/>
              <w:bidi w:val="0"/>
              <w:adjustRightInd w:val="0"/>
              <w:spacing w:line="360" w:lineRule="auto"/>
              <w:jc w:val="center"/>
              <w:textAlignment w:val="auto"/>
              <w:rPr>
                <w:rFonts w:hint="eastAsia" w:ascii="宋体" w:hAnsi="宋体" w:eastAsia="宋体" w:cs="宋体"/>
                <w:sz w:val="21"/>
                <w:szCs w:val="21"/>
                <w:lang w:val="zh-CN" w:eastAsia="zh-CN"/>
              </w:rPr>
            </w:pPr>
            <w:r>
              <w:rPr>
                <w:rFonts w:hint="eastAsia" w:ascii="宋体" w:hAnsi="宋体" w:eastAsia="宋体" w:cs="宋体"/>
                <w:sz w:val="21"/>
                <w:szCs w:val="21"/>
                <w:lang w:val="en-US" w:eastAsia="zh-CN"/>
              </w:rPr>
              <w:t>3</w:t>
            </w:r>
          </w:p>
        </w:tc>
        <w:tc>
          <w:tcPr>
            <w:tcW w:w="1143" w:type="dxa"/>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诚信评审</w:t>
            </w:r>
          </w:p>
        </w:tc>
        <w:tc>
          <w:tcPr>
            <w:tcW w:w="709" w:type="dxa"/>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5</w:t>
            </w:r>
          </w:p>
        </w:tc>
        <w:tc>
          <w:tcPr>
            <w:tcW w:w="5953" w:type="dxa"/>
            <w:vAlign w:val="center"/>
          </w:tcPr>
          <w:p>
            <w:pPr>
              <w:pStyle w:val="94"/>
              <w:keepNext w:val="0"/>
              <w:keepLines w:val="0"/>
              <w:pageBreakBefore w:val="0"/>
              <w:kinsoku/>
              <w:wordWrap/>
              <w:overflowPunct/>
              <w:topLinePunct w:val="0"/>
              <w:bidi w:val="0"/>
              <w:spacing w:line="360" w:lineRule="auto"/>
              <w:ind w:left="34" w:leftChars="16"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根据《深圳市财政局关于印发&lt;深圳市财政局政府采购供应商信用信息管理办法&gt;的通知》（深财规〔2023〕3号）相关规定，如供应商在全国范围内存在因政府采购违法、违规行为受到财政部门罚款等一般行政处罚信息，或者存在该办法第十一条所称在本市集中采购活动中的一般违法失信行为记录信息，且在公示期内的，本项不得分，否则得5分。</w:t>
            </w:r>
          </w:p>
          <w:p>
            <w:pPr>
              <w:keepNext w:val="0"/>
              <w:keepLines w:val="0"/>
              <w:pageBreakBefore w:val="0"/>
              <w:tabs>
                <w:tab w:val="left" w:pos="175"/>
              </w:tabs>
              <w:kinsoku/>
              <w:wordWrap/>
              <w:overflowPunct/>
              <w:topLinePunct w:val="0"/>
              <w:bidi w:val="0"/>
              <w:spacing w:line="360" w:lineRule="auto"/>
              <w:ind w:left="33"/>
              <w:jc w:val="left"/>
              <w:textAlignment w:val="auto"/>
              <w:rPr>
                <w:rFonts w:hint="eastAsia" w:ascii="宋体" w:hAnsi="宋体" w:eastAsia="宋体" w:cs="宋体"/>
                <w:sz w:val="21"/>
                <w:szCs w:val="21"/>
              </w:rPr>
            </w:pPr>
            <w:r>
              <w:rPr>
                <w:rFonts w:hint="eastAsia" w:ascii="宋体" w:hAnsi="宋体" w:eastAsia="宋体" w:cs="宋体"/>
                <w:sz w:val="21"/>
                <w:szCs w:val="21"/>
              </w:rPr>
              <w:t>（采购代理机构通过“信用中国”、“中国政府采购网”、“深圳市政府采购监管网”以及市、区财政部门认定的其他渠道查询供应商信用信息，投标人无需提供证明材料。）</w:t>
            </w:r>
          </w:p>
        </w:tc>
        <w:tc>
          <w:tcPr>
            <w:tcW w:w="1187" w:type="dxa"/>
            <w:vAlign w:val="center"/>
          </w:tcPr>
          <w:p>
            <w:pPr>
              <w:keepNext w:val="0"/>
              <w:keepLines w:val="0"/>
              <w:pageBreakBefore w:val="0"/>
              <w:kinsoku/>
              <w:wordWrap/>
              <w:overflowPunct/>
              <w:topLinePunct w:val="0"/>
              <w:bidi w:val="0"/>
              <w:spacing w:line="360" w:lineRule="auto"/>
              <w:jc w:val="center"/>
              <w:textAlignment w:val="auto"/>
              <w:rPr>
                <w:rFonts w:hint="eastAsia" w:ascii="宋体" w:hAnsi="宋体" w:eastAsia="宋体" w:cs="宋体"/>
                <w:sz w:val="21"/>
                <w:szCs w:val="21"/>
                <w:lang w:val="zh-CN"/>
              </w:rPr>
            </w:pPr>
            <w:r>
              <w:rPr>
                <w:rFonts w:hint="eastAsia" w:ascii="宋体" w:hAnsi="宋体" w:eastAsia="宋体" w:cs="宋体"/>
                <w:sz w:val="21"/>
                <w:szCs w:val="21"/>
              </w:rPr>
              <w:t>评委</w:t>
            </w:r>
            <w:r>
              <w:rPr>
                <w:rFonts w:hint="eastAsia" w:ascii="宋体" w:hAnsi="宋体" w:eastAsia="宋体" w:cs="宋体"/>
                <w:sz w:val="21"/>
                <w:szCs w:val="21"/>
                <w:lang w:val="zh-CN"/>
              </w:rPr>
              <w:t>打分</w:t>
            </w:r>
          </w:p>
        </w:tc>
      </w:tr>
    </w:tbl>
    <w:p>
      <w:pPr>
        <w:pStyle w:val="4"/>
        <w:spacing w:before="0" w:after="0"/>
        <w:jc w:val="left"/>
        <w:rPr>
          <w:rFonts w:asciiTheme="minorEastAsia" w:hAnsiTheme="minorEastAsia"/>
          <w:bCs w:val="0"/>
          <w:sz w:val="21"/>
          <w:szCs w:val="21"/>
        </w:rPr>
      </w:pPr>
      <w:bookmarkStart w:id="10" w:name="_Toc135293165"/>
      <w:bookmarkStart w:id="11" w:name="_Toc44691162"/>
      <w:bookmarkStart w:id="12" w:name="_Toc44690703"/>
      <w:bookmarkStart w:id="13" w:name="_Toc44691394"/>
      <w:bookmarkStart w:id="14" w:name="_Toc44690430"/>
      <w:r>
        <w:rPr>
          <w:rFonts w:hint="eastAsia" w:asciiTheme="minorEastAsia" w:hAnsiTheme="minorEastAsia"/>
          <w:bCs w:val="0"/>
          <w:sz w:val="21"/>
          <w:szCs w:val="21"/>
        </w:rPr>
        <w:t>备注：</w:t>
      </w:r>
      <w:bookmarkEnd w:id="10"/>
      <w:bookmarkEnd w:id="11"/>
      <w:bookmarkEnd w:id="12"/>
      <w:bookmarkEnd w:id="13"/>
      <w:bookmarkEnd w:id="14"/>
    </w:p>
    <w:p>
      <w:pPr>
        <w:pStyle w:val="3"/>
        <w:spacing w:before="0" w:after="0"/>
      </w:pPr>
      <w:bookmarkStart w:id="15" w:name="_Toc135293166"/>
      <w:r>
        <w:rPr>
          <w:rFonts w:hint="eastAsia"/>
        </w:rPr>
        <w:t>1、资质证书有效期</w:t>
      </w:r>
      <w:bookmarkEnd w:id="15"/>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pPr>
        <w:adjustRightInd w:val="0"/>
        <w:spacing w:line="360" w:lineRule="exact"/>
        <w:rPr>
          <w:rFonts w:asciiTheme="minorEastAsia" w:hAnsiTheme="minorEastAsia" w:eastAsiaTheme="minorEastAsia"/>
          <w:b/>
        </w:rPr>
      </w:pPr>
    </w:p>
    <w:p>
      <w:pPr>
        <w:pStyle w:val="3"/>
        <w:spacing w:before="0" w:after="0"/>
        <w:rPr>
          <w:rFonts w:asciiTheme="minorEastAsia" w:hAnsiTheme="minorEastAsia" w:eastAsiaTheme="minorEastAsia"/>
        </w:rPr>
      </w:pPr>
      <w:bookmarkStart w:id="16" w:name="_Toc135293167"/>
      <w:r>
        <w:rPr>
          <w:rFonts w:hint="eastAsia" w:asciiTheme="minorEastAsia" w:hAnsiTheme="minorEastAsia" w:eastAsiaTheme="minorEastAsia"/>
        </w:rPr>
        <w:t>2、政府采购扶持政策</w:t>
      </w:r>
      <w:bookmarkEnd w:id="16"/>
    </w:p>
    <w:p>
      <w:pPr>
        <w:spacing w:after="60" w:line="360" w:lineRule="auto"/>
        <w:ind w:firstLine="426" w:firstLineChars="202"/>
        <w:rPr>
          <w:rFonts w:ascii="宋体" w:hAnsi="宋体"/>
          <w:b/>
          <w:snapToGrid w:val="0"/>
          <w:szCs w:val="21"/>
        </w:rPr>
      </w:pPr>
      <w:r>
        <w:rPr>
          <w:rFonts w:hint="eastAsia" w:ascii="宋体" w:hAnsi="宋体"/>
          <w:b/>
          <w:snapToGrid w:val="0"/>
          <w:szCs w:val="21"/>
          <w:highlight w:val="yellow"/>
        </w:rPr>
        <w:t>（一）本项目所属行业为</w:t>
      </w:r>
      <w:r>
        <w:rPr>
          <w:rFonts w:hint="eastAsia" w:ascii="宋体" w:hAnsi="宋体"/>
          <w:b/>
          <w:snapToGrid w:val="0"/>
          <w:szCs w:val="21"/>
          <w:highlight w:val="yellow"/>
          <w:u w:val="single"/>
        </w:rPr>
        <w:t xml:space="preserve"> 其他未列明行业 </w:t>
      </w:r>
      <w:r>
        <w:rPr>
          <w:rFonts w:hint="eastAsia" w:ascii="宋体" w:hAnsi="宋体"/>
          <w:b/>
          <w:snapToGrid w:val="0"/>
          <w:szCs w:val="21"/>
          <w:highlight w:val="yellow"/>
        </w:rPr>
        <w:t>，投标人应根据《工业和信息化部、国家统计局、国家发展和改革委员会、财政部关于印发中小企业划型标准规定的通知》(工信部联企业〔2011〕300号)规定的中小企业划型标准填写《中小企业声明函》。</w:t>
      </w:r>
    </w:p>
    <w:p>
      <w:pPr>
        <w:spacing w:line="360" w:lineRule="auto"/>
        <w:ind w:firstLine="422" w:firstLineChars="200"/>
        <w:rPr>
          <w:rFonts w:asciiTheme="minorEastAsia" w:hAnsiTheme="minorEastAsia" w:eastAsiaTheme="minorEastAsia"/>
          <w:b/>
          <w:bCs/>
          <w:szCs w:val="22"/>
        </w:rPr>
      </w:pPr>
      <w:r>
        <w:rPr>
          <w:rFonts w:hint="eastAsia" w:asciiTheme="minorEastAsia" w:hAnsiTheme="minorEastAsia" w:eastAsiaTheme="minorEastAsia"/>
          <w:b/>
          <w:bCs/>
          <w:szCs w:val="22"/>
        </w:rPr>
        <w:t>（二）价格评审优惠</w:t>
      </w:r>
    </w:p>
    <w:p>
      <w:pPr>
        <w:spacing w:line="360" w:lineRule="auto"/>
        <w:ind w:firstLine="371" w:firstLineChars="177"/>
        <w:rPr>
          <w:rFonts w:cs="仿宋" w:asciiTheme="minorEastAsia" w:hAnsiTheme="minorEastAsia" w:eastAsiaTheme="minorEastAsia"/>
          <w:szCs w:val="21"/>
        </w:rPr>
      </w:pPr>
      <w:r>
        <w:rPr>
          <w:rFonts w:hint="eastAsia" w:asciiTheme="minorEastAsia" w:hAnsiTheme="minorEastAsia" w:eastAsiaTheme="minorEastAsia"/>
          <w:szCs w:val="21"/>
        </w:rPr>
        <w:t>□</w:t>
      </w:r>
      <w:r>
        <w:rPr>
          <w:rFonts w:hint="eastAsia" w:ascii="Calibri" w:hAnsi="宋体"/>
        </w:rPr>
        <w:t>预留份额专门面向中小企业采购的采购项目或采购包</w:t>
      </w:r>
      <w:r>
        <w:rPr>
          <w:rFonts w:hint="eastAsia" w:cs="仿宋" w:asciiTheme="minorEastAsia" w:hAnsiTheme="minorEastAsia" w:eastAsiaTheme="minorEastAsia"/>
          <w:szCs w:val="21"/>
        </w:rPr>
        <w:t>：不执行价格评审优惠的扶持政策。</w:t>
      </w:r>
    </w:p>
    <w:p>
      <w:pPr>
        <w:widowControl/>
        <w:spacing w:line="360" w:lineRule="auto"/>
        <w:ind w:firstLine="371" w:firstLineChars="177"/>
        <w:jc w:val="left"/>
        <w:rPr>
          <w:rFonts w:cs="仿宋" w:asciiTheme="minorEastAsia" w:hAnsiTheme="minorEastAsia" w:eastAsiaTheme="minorEastAsia"/>
          <w:szCs w:val="21"/>
        </w:rPr>
      </w:pPr>
      <w:r>
        <w:rPr>
          <w:rFonts w:hint="eastAsia" w:ascii="宋体" w:eastAsia="MS Mincho" w:cs="MS Mincho" w:hAnsiTheme="minorEastAsia"/>
          <w:kern w:val="0"/>
          <w:szCs w:val="21"/>
        </w:rPr>
        <w:t>☑</w:t>
      </w:r>
      <w:r>
        <w:rPr>
          <w:rFonts w:hint="eastAsia" w:ascii="Segoe UI Symbol" w:hAnsi="Segoe UI Symbol"/>
        </w:rPr>
        <w:t>未</w:t>
      </w:r>
      <w:r>
        <w:rPr>
          <w:rFonts w:hint="eastAsia" w:ascii="Calibri" w:hAnsi="宋体"/>
        </w:rPr>
        <w:t>预留份额专门面向中小企业采购的采购项目或采购包</w:t>
      </w:r>
      <w:r>
        <w:rPr>
          <w:rFonts w:hint="eastAsia" w:asciiTheme="minorEastAsia" w:hAnsiTheme="minorEastAsia" w:eastAsiaTheme="minorEastAsia"/>
          <w:szCs w:val="21"/>
        </w:rPr>
        <w:t>：</w:t>
      </w:r>
    </w:p>
    <w:p>
      <w:pPr>
        <w:spacing w:line="360" w:lineRule="auto"/>
        <w:ind w:firstLine="424" w:firstLineChars="202"/>
        <w:rPr>
          <w:rFonts w:asciiTheme="minorEastAsia" w:hAnsiTheme="minorEastAsia" w:eastAsiaTheme="minorEastAsia"/>
          <w:szCs w:val="22"/>
        </w:rPr>
      </w:pPr>
      <w:r>
        <w:rPr>
          <w:rFonts w:hint="eastAsia" w:asciiTheme="minorEastAsia" w:hAnsiTheme="minorEastAsia" w:eastAsiaTheme="minorEastAsia"/>
          <w:szCs w:val="22"/>
        </w:rPr>
        <w:t>（1）根据</w:t>
      </w:r>
      <w:r>
        <w:rPr>
          <w:rFonts w:hint="eastAsia" w:ascii="宋体" w:hAnsi="宋体"/>
          <w:snapToGrid w:val="0"/>
          <w:szCs w:val="21"/>
        </w:rPr>
        <w:t>《财政部 工业和信息化部关于印发《政府采购促进中小企业发展管理办法》的通知》(财库〔2020〕46号)</w:t>
      </w:r>
      <w:r>
        <w:rPr>
          <w:rFonts w:hint="eastAsia" w:asciiTheme="minorEastAsia" w:hAnsiTheme="minorEastAsia" w:eastAsiaTheme="minorEastAsia"/>
          <w:szCs w:val="22"/>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扶持政策的证明材料的投标人，</w:t>
      </w:r>
      <w:r>
        <w:rPr>
          <w:rFonts w:hint="eastAsia" w:asciiTheme="minorEastAsia" w:hAnsiTheme="minorEastAsia" w:eastAsiaTheme="minorEastAsia"/>
          <w:b/>
          <w:szCs w:val="22"/>
        </w:rPr>
        <w:t>其投标报价扣除</w:t>
      </w:r>
      <w:r>
        <w:rPr>
          <w:rFonts w:hint="eastAsia" w:asciiTheme="minorEastAsia" w:hAnsiTheme="minorEastAsia" w:eastAsiaTheme="minorEastAsia"/>
          <w:b/>
          <w:szCs w:val="22"/>
          <w:u w:val="single"/>
        </w:rPr>
        <w:t xml:space="preserve"> 10 </w:t>
      </w:r>
      <w:r>
        <w:rPr>
          <w:rFonts w:hint="eastAsia" w:asciiTheme="minorEastAsia" w:hAnsiTheme="minorEastAsia" w:eastAsiaTheme="minorEastAsia"/>
          <w:b/>
          <w:szCs w:val="22"/>
        </w:rPr>
        <w:t>%（请在10%-20%范围内选择）后参与评审</w:t>
      </w:r>
      <w:r>
        <w:rPr>
          <w:rFonts w:hint="eastAsia" w:asciiTheme="minorEastAsia" w:hAnsiTheme="minorEastAsia" w:eastAsiaTheme="minorEastAsia"/>
          <w:szCs w:val="22"/>
        </w:rPr>
        <w:t>。</w:t>
      </w:r>
    </w:p>
    <w:p>
      <w:pPr>
        <w:spacing w:line="360" w:lineRule="auto"/>
        <w:ind w:firstLine="424" w:firstLineChars="202"/>
        <w:rPr>
          <w:rFonts w:asciiTheme="minorEastAsia" w:hAnsiTheme="minorEastAsia" w:eastAsiaTheme="minorEastAsia"/>
          <w:szCs w:val="22"/>
        </w:rPr>
      </w:pPr>
      <w:r>
        <w:rPr>
          <w:rFonts w:hint="eastAsia" w:asciiTheme="minorEastAsia" w:hAnsiTheme="minorEastAsia" w:eastAsiaTheme="minorEastAsia"/>
          <w:szCs w:val="22"/>
        </w:rPr>
        <w:t>（2）联合协议中约定，小型、微型企业的协议合同金额占到联合体协议合同总金额30%以上的，可给予</w:t>
      </w:r>
      <w:r>
        <w:rPr>
          <w:rFonts w:hint="eastAsia" w:asciiTheme="minorEastAsia" w:hAnsiTheme="minorEastAsia" w:eastAsiaTheme="minorEastAsia"/>
          <w:b/>
          <w:szCs w:val="22"/>
        </w:rPr>
        <w:t>联合体</w:t>
      </w:r>
      <w:r>
        <w:rPr>
          <w:rFonts w:hint="eastAsia" w:asciiTheme="minorEastAsia" w:hAnsiTheme="minorEastAsia" w:eastAsiaTheme="minorEastAsia"/>
          <w:b/>
          <w:szCs w:val="22"/>
          <w:u w:val="single"/>
        </w:rPr>
        <w:t xml:space="preserve"> / </w:t>
      </w:r>
      <w:r>
        <w:rPr>
          <w:rFonts w:hint="eastAsia" w:asciiTheme="minorEastAsia" w:hAnsiTheme="minorEastAsia" w:eastAsiaTheme="minorEastAsia"/>
          <w:b/>
          <w:szCs w:val="22"/>
        </w:rPr>
        <w:t>%</w:t>
      </w:r>
      <w:r>
        <w:rPr>
          <w:rFonts w:asciiTheme="minorEastAsia" w:hAnsiTheme="minorEastAsia" w:eastAsiaTheme="minorEastAsia"/>
          <w:b/>
          <w:szCs w:val="22"/>
        </w:rPr>
        <w:t xml:space="preserve"> </w:t>
      </w:r>
      <w:r>
        <w:rPr>
          <w:rFonts w:hint="eastAsia" w:asciiTheme="minorEastAsia" w:hAnsiTheme="minorEastAsia" w:eastAsiaTheme="minorEastAsia"/>
          <w:b/>
          <w:szCs w:val="22"/>
        </w:rPr>
        <w:t>（请在4</w:t>
      </w:r>
      <w:r>
        <w:rPr>
          <w:rFonts w:asciiTheme="minorEastAsia" w:hAnsiTheme="minorEastAsia" w:eastAsiaTheme="minorEastAsia"/>
          <w:b/>
          <w:szCs w:val="22"/>
        </w:rPr>
        <w:t>%-</w:t>
      </w:r>
      <w:r>
        <w:rPr>
          <w:rFonts w:hint="eastAsia" w:asciiTheme="minorEastAsia" w:hAnsiTheme="minorEastAsia" w:eastAsiaTheme="minorEastAsia"/>
          <w:b/>
          <w:szCs w:val="22"/>
        </w:rPr>
        <w:t>6</w:t>
      </w:r>
      <w:r>
        <w:rPr>
          <w:rFonts w:asciiTheme="minorEastAsia" w:hAnsiTheme="minorEastAsia" w:eastAsiaTheme="minorEastAsia"/>
          <w:b/>
          <w:szCs w:val="22"/>
        </w:rPr>
        <w:t>%</w:t>
      </w:r>
      <w:r>
        <w:rPr>
          <w:rFonts w:hint="eastAsia" w:asciiTheme="minorEastAsia" w:hAnsiTheme="minorEastAsia" w:eastAsiaTheme="minorEastAsia"/>
          <w:b/>
          <w:szCs w:val="22"/>
        </w:rPr>
        <w:t>范围内选择）</w:t>
      </w:r>
      <w:r>
        <w:rPr>
          <w:rFonts w:hint="eastAsia" w:asciiTheme="minorEastAsia" w:hAnsiTheme="minorEastAsia" w:eastAsiaTheme="minorEastAsia"/>
          <w:szCs w:val="22"/>
        </w:rPr>
        <w:t>的价格扣除</w:t>
      </w:r>
      <w:r>
        <w:rPr>
          <w:rFonts w:hint="eastAsia" w:ascii="宋体" w:hAnsi="宋体"/>
          <w:szCs w:val="22"/>
        </w:rPr>
        <w:t>，用扣除后的价格参与评审</w:t>
      </w:r>
      <w:r>
        <w:rPr>
          <w:rFonts w:hint="eastAsia" w:asciiTheme="minorEastAsia" w:hAnsiTheme="minorEastAsia" w:eastAsiaTheme="minorEastAsia"/>
          <w:szCs w:val="22"/>
        </w:rPr>
        <w:t>。如联合体各方均为小型、微型企业，联合体视同为小型、微型企业，享受</w:t>
      </w:r>
      <w:r>
        <w:rPr>
          <w:rFonts w:hint="eastAsia" w:asciiTheme="minorEastAsia" w:hAnsiTheme="minorEastAsia" w:eastAsiaTheme="minorEastAsia"/>
          <w:b/>
          <w:szCs w:val="22"/>
        </w:rPr>
        <w:t>第（1）项</w:t>
      </w:r>
      <w:r>
        <w:rPr>
          <w:rFonts w:hint="eastAsia" w:asciiTheme="minorEastAsia" w:hAnsiTheme="minorEastAsia" w:eastAsiaTheme="minorEastAsia"/>
          <w:szCs w:val="22"/>
        </w:rPr>
        <w:t>的评审优惠。</w:t>
      </w:r>
    </w:p>
    <w:p>
      <w:pPr>
        <w:spacing w:after="60" w:line="360" w:lineRule="auto"/>
        <w:ind w:firstLine="424" w:firstLineChars="202"/>
        <w:rPr>
          <w:rFonts w:ascii="宋体" w:hAnsi="宋体"/>
          <w:szCs w:val="22"/>
        </w:rPr>
      </w:pPr>
      <w:r>
        <w:rPr>
          <w:rFonts w:hint="eastAsia" w:ascii="宋体" w:hAnsi="宋体"/>
          <w:szCs w:val="22"/>
        </w:rPr>
        <w:t>（3）分包意向协议约定，小型、微型企业的协议合同金额占到合同总金额30%以上的，可给予投标人</w:t>
      </w:r>
      <w:r>
        <w:rPr>
          <w:rFonts w:hint="eastAsia" w:ascii="宋体" w:hAnsi="宋体"/>
          <w:b/>
          <w:szCs w:val="22"/>
          <w:u w:val="single"/>
        </w:rPr>
        <w:t xml:space="preserve">  </w:t>
      </w:r>
      <w:r>
        <w:rPr>
          <w:rFonts w:hint="eastAsia" w:asciiTheme="minorEastAsia" w:hAnsiTheme="minorEastAsia" w:eastAsiaTheme="minorEastAsia"/>
          <w:b/>
          <w:szCs w:val="22"/>
          <w:u w:val="single"/>
        </w:rPr>
        <w:t xml:space="preserve">/  </w:t>
      </w:r>
      <w:r>
        <w:rPr>
          <w:rFonts w:hint="eastAsia" w:asciiTheme="minorEastAsia" w:hAnsiTheme="minorEastAsia" w:eastAsiaTheme="minorEastAsia"/>
          <w:b/>
          <w:szCs w:val="22"/>
        </w:rPr>
        <w:t>%</w:t>
      </w:r>
      <w:r>
        <w:rPr>
          <w:rFonts w:asciiTheme="minorEastAsia" w:hAnsiTheme="minorEastAsia" w:eastAsiaTheme="minorEastAsia"/>
          <w:b/>
          <w:szCs w:val="22"/>
        </w:rPr>
        <w:t xml:space="preserve"> </w:t>
      </w:r>
      <w:r>
        <w:rPr>
          <w:rFonts w:hint="eastAsia" w:asciiTheme="minorEastAsia" w:hAnsiTheme="minorEastAsia" w:eastAsiaTheme="minorEastAsia"/>
          <w:b/>
          <w:szCs w:val="22"/>
        </w:rPr>
        <w:t>（请在4</w:t>
      </w:r>
      <w:r>
        <w:rPr>
          <w:rFonts w:asciiTheme="minorEastAsia" w:hAnsiTheme="minorEastAsia" w:eastAsiaTheme="minorEastAsia"/>
          <w:b/>
          <w:szCs w:val="22"/>
        </w:rPr>
        <w:t>%-</w:t>
      </w:r>
      <w:r>
        <w:rPr>
          <w:rFonts w:hint="eastAsia" w:asciiTheme="minorEastAsia" w:hAnsiTheme="minorEastAsia" w:eastAsiaTheme="minorEastAsia"/>
          <w:b/>
          <w:szCs w:val="22"/>
        </w:rPr>
        <w:t>6</w:t>
      </w:r>
      <w:r>
        <w:rPr>
          <w:rFonts w:asciiTheme="minorEastAsia" w:hAnsiTheme="minorEastAsia" w:eastAsiaTheme="minorEastAsia"/>
          <w:b/>
          <w:szCs w:val="22"/>
        </w:rPr>
        <w:t>%</w:t>
      </w:r>
      <w:r>
        <w:rPr>
          <w:rFonts w:hint="eastAsia" w:asciiTheme="minorEastAsia" w:hAnsiTheme="minorEastAsia" w:eastAsiaTheme="minorEastAsia"/>
          <w:b/>
          <w:szCs w:val="22"/>
        </w:rPr>
        <w:t>范围内选择）</w:t>
      </w:r>
      <w:r>
        <w:rPr>
          <w:rFonts w:hint="eastAsia" w:asciiTheme="minorEastAsia" w:hAnsiTheme="minorEastAsia" w:eastAsiaTheme="minorEastAsia"/>
          <w:szCs w:val="22"/>
        </w:rPr>
        <w:t>的价格扣除</w:t>
      </w:r>
      <w:r>
        <w:rPr>
          <w:rFonts w:hint="eastAsia" w:ascii="宋体" w:hAnsi="宋体"/>
          <w:szCs w:val="22"/>
        </w:rPr>
        <w:t>，用扣除后的价格参与评审。</w:t>
      </w:r>
    </w:p>
    <w:p>
      <w:pPr>
        <w:spacing w:after="60" w:line="360" w:lineRule="auto"/>
        <w:ind w:firstLine="424" w:firstLineChars="202"/>
        <w:rPr>
          <w:rFonts w:ascii="宋体" w:hAnsi="宋体"/>
          <w:szCs w:val="22"/>
        </w:rPr>
      </w:pPr>
      <w:r>
        <w:rPr>
          <w:rFonts w:hint="eastAsia" w:ascii="宋体" w:hAnsi="宋体"/>
          <w:szCs w:val="22"/>
        </w:rPr>
        <w:t>（4）</w:t>
      </w:r>
      <w:r>
        <w:rPr>
          <w:rFonts w:hint="eastAsia" w:asciiTheme="minorEastAsia" w:hAnsiTheme="minorEastAsia" w:eastAsiaTheme="minorEastAsia"/>
          <w:szCs w:val="22"/>
        </w:rPr>
        <w:t>如供应商为</w:t>
      </w:r>
      <w:r>
        <w:rPr>
          <w:rFonts w:hint="eastAsia" w:ascii="Calibri" w:hAnsi="宋体"/>
          <w:szCs w:val="22"/>
        </w:rPr>
        <w:t>监狱企业</w:t>
      </w:r>
      <w:r>
        <w:rPr>
          <w:rFonts w:hint="eastAsia" w:ascii="Calibri" w:hAnsi="宋体"/>
          <w:szCs w:val="21"/>
        </w:rPr>
        <w:t>或残疾人福利性单位，</w:t>
      </w:r>
      <w:r>
        <w:rPr>
          <w:rFonts w:hint="eastAsia" w:ascii="Calibri" w:hAnsi="宋体"/>
          <w:szCs w:val="22"/>
        </w:rPr>
        <w:t>视同</w:t>
      </w:r>
      <w:r>
        <w:rPr>
          <w:rFonts w:hint="eastAsia" w:asciiTheme="minorEastAsia" w:hAnsiTheme="minorEastAsia" w:eastAsiaTheme="minorEastAsia"/>
          <w:szCs w:val="22"/>
        </w:rPr>
        <w:t>小型、微型企业，</w:t>
      </w:r>
      <w:r>
        <w:rPr>
          <w:rFonts w:hint="eastAsia" w:ascii="Calibri" w:hAnsi="宋体"/>
          <w:szCs w:val="22"/>
        </w:rPr>
        <w:t>享受以上预留份额、评审中价格扣除等政府采购促进中小企业发展的政府采购政策；</w:t>
      </w:r>
      <w:r>
        <w:rPr>
          <w:rFonts w:hint="eastAsia" w:asciiTheme="minorEastAsia" w:hAnsiTheme="minorEastAsia" w:eastAsiaTheme="minorEastAsia"/>
          <w:szCs w:val="22"/>
        </w:rPr>
        <w:t>对于同时属于小型、微型企业、监狱企业或残疾人福利性单位的供应商，不重复享受政策。</w:t>
      </w:r>
    </w:p>
    <w:p>
      <w:pPr>
        <w:spacing w:after="60" w:line="360" w:lineRule="auto"/>
        <w:ind w:firstLine="424" w:firstLineChars="202"/>
        <w:rPr>
          <w:rFonts w:ascii="宋体" w:hAnsi="宋体"/>
          <w:szCs w:val="22"/>
        </w:rPr>
      </w:pPr>
      <w:r>
        <w:rPr>
          <w:rFonts w:hint="eastAsia" w:ascii="宋体" w:hAnsi="宋体"/>
          <w:szCs w:val="22"/>
        </w:rPr>
        <w:t>（5）优惠主体资格的认定资料为《中小企业声明函》、《残疾人福利性单位声明函》以及《监狱企业声明函》等承诺性质的资料；监狱企业或者代理提供监狱企业货物的供应商如需享受优惠政策，除上述资料外，还须提供省级以上监狱管理局、戒毒管理局出具的监狱企业证明文件。</w:t>
      </w:r>
    </w:p>
    <w:p>
      <w:pPr>
        <w:spacing w:line="360" w:lineRule="auto"/>
        <w:ind w:firstLine="422" w:firstLineChars="200"/>
        <w:rPr>
          <w:rFonts w:asciiTheme="minorEastAsia" w:hAnsiTheme="minorEastAsia" w:eastAsiaTheme="minorEastAsia"/>
          <w:b/>
          <w:bCs/>
          <w:szCs w:val="22"/>
        </w:rPr>
      </w:pPr>
      <w:r>
        <w:rPr>
          <w:rFonts w:hint="eastAsia" w:asciiTheme="minorEastAsia" w:hAnsiTheme="minorEastAsia" w:eastAsiaTheme="minorEastAsia"/>
          <w:b/>
          <w:bCs/>
          <w:szCs w:val="22"/>
        </w:rPr>
        <w:t>（三）绿色采购</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rPr>
        <w:t>（1）投标产品属于《关于调整优化节能产品环境标志产品政府采购执行机制的通知》（财库〔2019〕9号）、《关于印发环境标志产品政府采购品目清单的通知》（财库〔2019〕18号）和《关于印发节能产品</w:t>
      </w:r>
      <w:r>
        <w:rPr>
          <w:rFonts w:hint="eastAsia" w:asciiTheme="minorEastAsia" w:hAnsiTheme="minorEastAsia" w:eastAsiaTheme="minorEastAsia"/>
          <w:szCs w:val="21"/>
        </w:rPr>
        <w:t>政府采购品目清单的通知》（财库〔2019〕19号）品目清单范围内的，</w:t>
      </w:r>
      <w:r>
        <w:rPr>
          <w:rFonts w:hint="eastAsia" w:asciiTheme="minorEastAsia" w:hAnsiTheme="minorEastAsia" w:eastAsiaTheme="minorEastAsia"/>
        </w:rPr>
        <w:t>应依据国家确定的认证机构出具的、处于有效期之内的节能产品、环境标志产品认证证书，对获得证书的产品实施政府优先采购或强制采购。</w:t>
      </w:r>
      <w:r>
        <w:rPr>
          <w:rFonts w:hint="eastAsia" w:asciiTheme="minorEastAsia" w:hAnsiTheme="minorEastAsia" w:eastAsiaTheme="minorEastAsia"/>
          <w:b/>
        </w:rPr>
        <w:t>对符合条件的获证产品</w:t>
      </w:r>
      <w:r>
        <w:rPr>
          <w:rFonts w:hint="eastAsia" w:asciiTheme="minorEastAsia" w:hAnsiTheme="minorEastAsia" w:eastAsiaTheme="minorEastAsia"/>
          <w:b/>
          <w:szCs w:val="21"/>
        </w:rPr>
        <w:t>，根据该投标产品报价给予</w:t>
      </w:r>
      <w:r>
        <w:rPr>
          <w:rFonts w:hint="eastAsia" w:asciiTheme="minorEastAsia" w:hAnsiTheme="minorEastAsia" w:eastAsiaTheme="minorEastAsia"/>
          <w:b/>
          <w:szCs w:val="21"/>
          <w:u w:val="single"/>
        </w:rPr>
        <w:t xml:space="preserve"> 1 </w:t>
      </w:r>
      <w:r>
        <w:rPr>
          <w:rFonts w:hint="eastAsia" w:asciiTheme="minorEastAsia" w:hAnsiTheme="minorEastAsia" w:eastAsiaTheme="minorEastAsia"/>
          <w:b/>
          <w:szCs w:val="21"/>
        </w:rPr>
        <w:t>%的价格扣除，用扣除后的价格参与评审</w:t>
      </w:r>
      <w:r>
        <w:rPr>
          <w:rFonts w:hint="eastAsia" w:asciiTheme="minorEastAsia" w:hAnsiTheme="minorEastAsia" w:eastAsiaTheme="minorEastAsia"/>
          <w:szCs w:val="21"/>
        </w:rPr>
        <w:t>（需按投标文件格式部分“列入政府优先采购清单的投标产品一览表”的要求提供证明材料，否则不予价格扣除）。</w:t>
      </w:r>
    </w:p>
    <w:p>
      <w:pPr>
        <w:autoSpaceDE w:val="0"/>
        <w:autoSpaceDN w:val="0"/>
        <w:adjustRightInd w:val="0"/>
        <w:spacing w:line="360" w:lineRule="auto"/>
        <w:ind w:firstLine="369" w:firstLineChars="176"/>
        <w:jc w:val="left"/>
        <w:rPr>
          <w:rFonts w:ascii="宋体" w:hAnsi="宋体" w:eastAsia="黑体"/>
          <w:b/>
          <w:bCs/>
          <w:kern w:val="44"/>
          <w:sz w:val="28"/>
          <w:szCs w:val="44"/>
        </w:rPr>
      </w:pPr>
      <w:r>
        <w:rPr>
          <w:rFonts w:hint="eastAsia" w:asciiTheme="minorEastAsia" w:hAnsiTheme="minorEastAsia" w:eastAsiaTheme="minorEastAsia"/>
          <w:szCs w:val="21"/>
        </w:rPr>
        <w:t>（2）按照《深圳市财政局关于大力推广政府绿色采购有关事项的通知（深财购〔2023〕49号）》相关要求，严格执行绿色采购需求标准。采购单位严格执行《商品包装政府采购需求标准（试行）》、《快递包装政府采购需求标准（试行）》（财办库〔2020〕123号）、《绿色建筑和绿色建材政府采购需求标准》（财办库〔2022〕35号）、《绿色数据中心政府采购需求标准（试行）》（财办库〔2023〕7号）等需求标准，依据相关需求标准确定采购需求，在采购文件和采购合同中载明具体需求、履约验收条款和违约责任，促进绿色包装、绿色运输、绿色建筑、绿色建材和绿色数据中心在政府采购领域的应用。加大新能源汽车采购力度。积极推广合同能源管理。鼓励公共机构推广应用合同能源管理，借助市场化手段，通过实施应用节能新技术、新产品，不断提高能源利用效率，为公共机构节能减排提供有力支持和保障。</w:t>
      </w:r>
    </w:p>
    <w:p>
      <w:pPr>
        <w:spacing w:line="360" w:lineRule="auto"/>
        <w:ind w:firstLine="422" w:firstLineChars="200"/>
        <w:rPr>
          <w:rFonts w:ascii="宋体" w:hAnsi="宋体"/>
          <w:b/>
          <w:szCs w:val="21"/>
        </w:rPr>
      </w:pPr>
      <w:r>
        <w:rPr>
          <w:rFonts w:hint="eastAsia" w:asciiTheme="minorEastAsia" w:hAnsiTheme="minorEastAsia" w:eastAsiaTheme="minorEastAsia"/>
          <w:b/>
          <w:szCs w:val="21"/>
        </w:rPr>
        <w:t>（四）</w:t>
      </w:r>
      <w:r>
        <w:rPr>
          <w:rFonts w:hint="eastAsia"/>
          <w:b/>
        </w:rPr>
        <w:t>其他说明</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rPr>
        <w:t>为缓解中小企业融资难题，深圳市推出政府采购订单融资改革举措。订单融资具体流程及试点金融机构订单融资服务承诺可参阅深圳市政府采购监管网（zfcg.sz.gov.cn）政府采购订单融资栏目。</w:t>
      </w:r>
    </w:p>
    <w:p>
      <w:pPr>
        <w:spacing w:line="360" w:lineRule="auto"/>
        <w:ind w:firstLine="424" w:firstLineChars="202"/>
      </w:pPr>
    </w:p>
    <w:p>
      <w:pPr>
        <w:spacing w:line="360" w:lineRule="auto"/>
        <w:ind w:firstLine="424" w:firstLineChars="202"/>
      </w:pPr>
    </w:p>
    <w:p>
      <w:pPr>
        <w:widowControl/>
        <w:jc w:val="left"/>
      </w:pPr>
      <w:r>
        <w:br w:type="page"/>
      </w:r>
    </w:p>
    <w:p>
      <w:pPr>
        <w:widowControl/>
        <w:jc w:val="left"/>
      </w:pPr>
    </w:p>
    <w:p>
      <w:pPr>
        <w:pStyle w:val="2"/>
      </w:pPr>
      <w:bookmarkStart w:id="17" w:name="_Toc135293168"/>
      <w:r>
        <w:rPr>
          <w:rFonts w:hint="eastAsia"/>
        </w:rPr>
        <w:t>第五章  投标人须知前附表</w:t>
      </w:r>
      <w:bookmarkEnd w:id="17"/>
    </w:p>
    <w:p>
      <w:pPr>
        <w:autoSpaceDE w:val="0"/>
        <w:autoSpaceDN w:val="0"/>
        <w:adjustRightInd w:val="0"/>
        <w:spacing w:line="360" w:lineRule="auto"/>
        <w:ind w:firstLine="480" w:firstLineChars="200"/>
        <w:jc w:val="left"/>
      </w:pPr>
      <w:r>
        <w:rPr>
          <w:rFonts w:hint="eastAsia" w:ascii="仿宋_GB2312" w:eastAsia="仿宋_GB2312"/>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Style w:val="50"/>
        <w:tblW w:w="1022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38"/>
        <w:gridCol w:w="1843"/>
        <w:gridCol w:w="65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项号</w:t>
            </w:r>
          </w:p>
        </w:tc>
        <w:tc>
          <w:tcPr>
            <w:tcW w:w="1038" w:type="dxa"/>
            <w:vAlign w:val="center"/>
          </w:tcPr>
          <w:p>
            <w:pPr>
              <w:pStyle w:val="26"/>
              <w:spacing w:line="360" w:lineRule="auto"/>
              <w:jc w:val="center"/>
              <w:rPr>
                <w:rFonts w:hAnsi="宋体"/>
              </w:rPr>
            </w:pPr>
            <w:r>
              <w:rPr>
                <w:rFonts w:hint="eastAsia" w:hAnsi="宋体"/>
              </w:rPr>
              <w:t>条款号</w:t>
            </w:r>
          </w:p>
        </w:tc>
        <w:tc>
          <w:tcPr>
            <w:tcW w:w="1843" w:type="dxa"/>
            <w:vAlign w:val="center"/>
          </w:tcPr>
          <w:p>
            <w:pPr>
              <w:pStyle w:val="26"/>
              <w:spacing w:line="360" w:lineRule="auto"/>
              <w:jc w:val="center"/>
              <w:rPr>
                <w:rFonts w:hAnsi="宋体"/>
              </w:rPr>
            </w:pPr>
            <w:r>
              <w:rPr>
                <w:rFonts w:hint="eastAsia" w:hAnsi="宋体"/>
              </w:rPr>
              <w:t>内容</w:t>
            </w:r>
          </w:p>
        </w:tc>
        <w:tc>
          <w:tcPr>
            <w:tcW w:w="6520" w:type="dxa"/>
          </w:tcPr>
          <w:p>
            <w:pPr>
              <w:pStyle w:val="26"/>
              <w:spacing w:line="360" w:lineRule="auto"/>
              <w:jc w:val="center"/>
              <w:rPr>
                <w:rFonts w:hAnsi="宋体"/>
              </w:rPr>
            </w:pPr>
            <w:r>
              <w:rPr>
                <w:rFonts w:hint="eastAsia" w:hAnsi="宋体"/>
              </w:rPr>
              <w:t>内容规定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Ansi="宋体"/>
              </w:rPr>
              <w:t>1</w:t>
            </w:r>
          </w:p>
        </w:tc>
        <w:tc>
          <w:tcPr>
            <w:tcW w:w="1038" w:type="dxa"/>
            <w:vAlign w:val="center"/>
          </w:tcPr>
          <w:p>
            <w:pPr>
              <w:pStyle w:val="26"/>
              <w:spacing w:line="360" w:lineRule="auto"/>
              <w:jc w:val="center"/>
              <w:rPr>
                <w:rFonts w:hAnsi="宋体"/>
              </w:rPr>
            </w:pPr>
            <w:r>
              <w:rPr>
                <w:rFonts w:hAnsi="宋体"/>
              </w:rPr>
              <w:t>1.1</w:t>
            </w:r>
          </w:p>
        </w:tc>
        <w:tc>
          <w:tcPr>
            <w:tcW w:w="1843" w:type="dxa"/>
            <w:vAlign w:val="center"/>
          </w:tcPr>
          <w:p>
            <w:pPr>
              <w:pStyle w:val="26"/>
              <w:spacing w:line="360" w:lineRule="exact"/>
              <w:jc w:val="center"/>
              <w:rPr>
                <w:rFonts w:hAnsi="宋体"/>
              </w:rPr>
            </w:pPr>
            <w:r>
              <w:rPr>
                <w:rFonts w:hint="eastAsia" w:hAnsi="宋体"/>
              </w:rPr>
              <w:t>项目名称</w:t>
            </w:r>
          </w:p>
        </w:tc>
        <w:tc>
          <w:tcPr>
            <w:tcW w:w="6520" w:type="dxa"/>
            <w:vAlign w:val="center"/>
          </w:tcPr>
          <w:p>
            <w:pPr>
              <w:pStyle w:val="26"/>
              <w:spacing w:line="360" w:lineRule="exact"/>
              <w:rPr>
                <w:rFonts w:hint="eastAsia" w:eastAsia="宋体"/>
                <w:lang w:eastAsia="zh-CN"/>
              </w:rPr>
            </w:pPr>
            <w:r>
              <w:rPr>
                <w:rFonts w:hint="eastAsia"/>
                <w:lang w:eastAsia="zh-CN"/>
              </w:rPr>
              <w:t>狂犬病免疫效价监测委托业务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2</w:t>
            </w:r>
          </w:p>
        </w:tc>
        <w:tc>
          <w:tcPr>
            <w:tcW w:w="1038" w:type="dxa"/>
            <w:vAlign w:val="center"/>
          </w:tcPr>
          <w:p>
            <w:pPr>
              <w:pStyle w:val="26"/>
              <w:spacing w:line="360" w:lineRule="auto"/>
              <w:jc w:val="center"/>
              <w:rPr>
                <w:rFonts w:hAnsi="宋体"/>
              </w:rPr>
            </w:pPr>
            <w:r>
              <w:rPr>
                <w:rFonts w:hAnsi="宋体"/>
              </w:rPr>
              <w:t>2.1</w:t>
            </w:r>
          </w:p>
        </w:tc>
        <w:tc>
          <w:tcPr>
            <w:tcW w:w="1843" w:type="dxa"/>
            <w:vAlign w:val="center"/>
          </w:tcPr>
          <w:p>
            <w:pPr>
              <w:pStyle w:val="26"/>
              <w:spacing w:line="360" w:lineRule="exact"/>
              <w:jc w:val="center"/>
              <w:rPr>
                <w:rFonts w:hAnsi="宋体"/>
              </w:rPr>
            </w:pPr>
            <w:r>
              <w:rPr>
                <w:rFonts w:hint="eastAsia" w:hAnsi="宋体"/>
              </w:rPr>
              <w:t>采购人</w:t>
            </w:r>
          </w:p>
        </w:tc>
        <w:tc>
          <w:tcPr>
            <w:tcW w:w="6520" w:type="dxa"/>
            <w:vAlign w:val="center"/>
          </w:tcPr>
          <w:p>
            <w:pPr>
              <w:pStyle w:val="26"/>
              <w:spacing w:line="360" w:lineRule="exact"/>
              <w:rPr>
                <w:rFonts w:hAnsi="宋体"/>
                <w:szCs w:val="24"/>
              </w:rPr>
            </w:pPr>
            <w:r>
              <w:rPr>
                <w:rFonts w:hint="eastAsia" w:hAnsi="宋体"/>
                <w:szCs w:val="24"/>
              </w:rPr>
              <w:t>深圳市质量安全检验检测研究院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3</w:t>
            </w:r>
          </w:p>
        </w:tc>
        <w:tc>
          <w:tcPr>
            <w:tcW w:w="1038" w:type="dxa"/>
            <w:vAlign w:val="center"/>
          </w:tcPr>
          <w:p>
            <w:pPr>
              <w:pStyle w:val="26"/>
              <w:spacing w:line="360" w:lineRule="auto"/>
              <w:jc w:val="center"/>
              <w:rPr>
                <w:rFonts w:hAnsi="宋体"/>
              </w:rPr>
            </w:pPr>
            <w:r>
              <w:rPr>
                <w:rFonts w:hAnsi="宋体"/>
              </w:rPr>
              <w:t>2.2</w:t>
            </w:r>
          </w:p>
        </w:tc>
        <w:tc>
          <w:tcPr>
            <w:tcW w:w="1843" w:type="dxa"/>
            <w:vAlign w:val="center"/>
          </w:tcPr>
          <w:p>
            <w:pPr>
              <w:pStyle w:val="26"/>
              <w:spacing w:line="360" w:lineRule="exact"/>
              <w:jc w:val="center"/>
              <w:rPr>
                <w:rFonts w:hAnsi="宋体"/>
              </w:rPr>
            </w:pPr>
            <w:r>
              <w:rPr>
                <w:rFonts w:hint="eastAsia" w:hAnsi="宋体"/>
              </w:rPr>
              <w:t>采购代理机构</w:t>
            </w:r>
          </w:p>
        </w:tc>
        <w:tc>
          <w:tcPr>
            <w:tcW w:w="6520" w:type="dxa"/>
            <w:vAlign w:val="center"/>
          </w:tcPr>
          <w:p>
            <w:pPr>
              <w:pStyle w:val="26"/>
              <w:spacing w:line="360" w:lineRule="exact"/>
              <w:rPr>
                <w:rFonts w:hAnsi="宋体"/>
              </w:rPr>
            </w:pPr>
            <w:r>
              <w:rPr>
                <w:rFonts w:hAnsi="宋体"/>
              </w:rPr>
              <w:t>深圳市中正招标有限公司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828" w:type="dxa"/>
            <w:vAlign w:val="center"/>
          </w:tcPr>
          <w:p>
            <w:pPr>
              <w:pStyle w:val="26"/>
              <w:spacing w:line="360" w:lineRule="auto"/>
              <w:jc w:val="center"/>
              <w:rPr>
                <w:rFonts w:hAnsi="宋体"/>
              </w:rPr>
            </w:pPr>
            <w:r>
              <w:rPr>
                <w:rFonts w:hint="eastAsia" w:hAnsi="宋体"/>
              </w:rPr>
              <w:t>4</w:t>
            </w:r>
          </w:p>
        </w:tc>
        <w:tc>
          <w:tcPr>
            <w:tcW w:w="1038" w:type="dxa"/>
            <w:vAlign w:val="center"/>
          </w:tcPr>
          <w:p>
            <w:pPr>
              <w:pStyle w:val="26"/>
              <w:spacing w:line="360" w:lineRule="auto"/>
              <w:jc w:val="center"/>
              <w:rPr>
                <w:rFonts w:hAnsi="宋体"/>
              </w:rPr>
            </w:pPr>
            <w:r>
              <w:rPr>
                <w:rFonts w:hint="eastAsia" w:hAnsi="宋体"/>
              </w:rPr>
              <w:t>3.1</w:t>
            </w:r>
          </w:p>
        </w:tc>
        <w:tc>
          <w:tcPr>
            <w:tcW w:w="1843" w:type="dxa"/>
            <w:vAlign w:val="center"/>
          </w:tcPr>
          <w:p>
            <w:pPr>
              <w:pStyle w:val="26"/>
              <w:spacing w:line="360" w:lineRule="exact"/>
              <w:jc w:val="center"/>
              <w:rPr>
                <w:rFonts w:hAnsi="宋体"/>
              </w:rPr>
            </w:pPr>
            <w:r>
              <w:rPr>
                <w:rFonts w:hint="eastAsia" w:hAnsi="宋体"/>
              </w:rPr>
              <w:t>资金来源</w:t>
            </w:r>
          </w:p>
        </w:tc>
        <w:tc>
          <w:tcPr>
            <w:tcW w:w="6520" w:type="dxa"/>
            <w:vAlign w:val="center"/>
          </w:tcPr>
          <w:p>
            <w:pPr>
              <w:pStyle w:val="26"/>
              <w:spacing w:line="360" w:lineRule="exact"/>
              <w:rPr>
                <w:rFonts w:hAnsi="宋体"/>
              </w:rPr>
            </w:pPr>
            <w:r>
              <w:rPr>
                <w:rFonts w:hint="eastAsia" w:hAnsi="宋体" w:eastAsia="MS Mincho" w:cs="MS Mincho"/>
                <w:sz w:val="24"/>
                <w:szCs w:val="24"/>
              </w:rPr>
              <w:t>☑</w:t>
            </w:r>
            <w:r>
              <w:rPr>
                <w:rFonts w:hint="eastAsia" w:hAnsi="宋体"/>
              </w:rPr>
              <w:t>财政资金/□自筹资金/□其它资金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8" w:type="dxa"/>
            <w:vAlign w:val="center"/>
          </w:tcPr>
          <w:p>
            <w:pPr>
              <w:pStyle w:val="26"/>
              <w:spacing w:line="360" w:lineRule="auto"/>
              <w:jc w:val="center"/>
              <w:rPr>
                <w:rFonts w:hAnsi="宋体"/>
              </w:rPr>
            </w:pPr>
            <w:r>
              <w:rPr>
                <w:rFonts w:hint="eastAsia" w:hAnsi="宋体"/>
              </w:rPr>
              <w:t>5</w:t>
            </w:r>
          </w:p>
        </w:tc>
        <w:tc>
          <w:tcPr>
            <w:tcW w:w="1038" w:type="dxa"/>
            <w:vAlign w:val="center"/>
          </w:tcPr>
          <w:p>
            <w:pPr>
              <w:pStyle w:val="26"/>
              <w:spacing w:line="360" w:lineRule="auto"/>
              <w:jc w:val="center"/>
              <w:rPr>
                <w:rFonts w:hAnsi="宋体"/>
              </w:rPr>
            </w:pPr>
            <w:r>
              <w:rPr>
                <w:rFonts w:hint="eastAsia" w:hAnsi="宋体"/>
              </w:rPr>
              <w:t>4.7</w:t>
            </w:r>
          </w:p>
        </w:tc>
        <w:tc>
          <w:tcPr>
            <w:tcW w:w="1843" w:type="dxa"/>
            <w:vAlign w:val="center"/>
          </w:tcPr>
          <w:p>
            <w:pPr>
              <w:pStyle w:val="26"/>
              <w:spacing w:line="360" w:lineRule="auto"/>
              <w:jc w:val="center"/>
              <w:rPr>
                <w:rFonts w:hAnsi="宋体"/>
              </w:rPr>
            </w:pPr>
            <w:r>
              <w:rPr>
                <w:rFonts w:hint="eastAsia" w:hAnsi="宋体"/>
              </w:rPr>
              <w:t>投标人资格要求</w:t>
            </w:r>
          </w:p>
        </w:tc>
        <w:tc>
          <w:tcPr>
            <w:tcW w:w="6520" w:type="dxa"/>
            <w:vAlign w:val="center"/>
          </w:tcPr>
          <w:p>
            <w:pPr>
              <w:pStyle w:val="26"/>
              <w:spacing w:line="300" w:lineRule="auto"/>
              <w:rPr>
                <w:rFonts w:hAnsi="宋体"/>
                <w:szCs w:val="21"/>
              </w:rPr>
            </w:pPr>
            <w:r>
              <w:rPr>
                <w:rFonts w:hint="eastAsia" w:hAnsi="宋体"/>
                <w:szCs w:val="21"/>
              </w:rPr>
              <w:t>详见《第一章 投标邀请》“申请人的资格要求”</w:t>
            </w:r>
            <w:r>
              <w:rPr>
                <w:rFonts w:hAnsi="宋体"/>
                <w:szCs w:val="21"/>
              </w:rPr>
              <w:t xml:space="preserve"> </w:t>
            </w:r>
          </w:p>
          <w:p>
            <w:pPr>
              <w:pStyle w:val="26"/>
              <w:spacing w:line="360" w:lineRule="auto"/>
              <w:rPr>
                <w:rFonts w:hAnsi="宋体"/>
                <w:b/>
                <w:bCs/>
                <w:szCs w:val="21"/>
              </w:rPr>
            </w:pPr>
            <w:r>
              <w:rPr>
                <w:rFonts w:hint="eastAsia" w:hAnsi="宋体"/>
                <w:b/>
                <w:bCs/>
                <w:szCs w:val="21"/>
              </w:rPr>
              <w:t>（投标人资格证明文件详见第七章 投标文件格式）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6"/>
              <w:spacing w:line="360" w:lineRule="auto"/>
              <w:jc w:val="center"/>
              <w:rPr>
                <w:rFonts w:hAnsi="宋体"/>
              </w:rPr>
            </w:pPr>
            <w:r>
              <w:rPr>
                <w:rFonts w:hint="eastAsia" w:hAnsi="宋体"/>
              </w:rPr>
              <w:t>6</w:t>
            </w:r>
          </w:p>
        </w:tc>
        <w:tc>
          <w:tcPr>
            <w:tcW w:w="1038" w:type="dxa"/>
            <w:vAlign w:val="center"/>
          </w:tcPr>
          <w:p>
            <w:pPr>
              <w:pStyle w:val="26"/>
              <w:spacing w:line="360" w:lineRule="auto"/>
              <w:jc w:val="center"/>
              <w:rPr>
                <w:rFonts w:hAnsi="宋体"/>
              </w:rPr>
            </w:pPr>
            <w:r>
              <w:rPr>
                <w:rFonts w:hint="eastAsia" w:hAnsi="宋体"/>
              </w:rPr>
              <w:t>4.8</w:t>
            </w:r>
          </w:p>
        </w:tc>
        <w:tc>
          <w:tcPr>
            <w:tcW w:w="1843" w:type="dxa"/>
            <w:vAlign w:val="center"/>
          </w:tcPr>
          <w:p>
            <w:pPr>
              <w:pStyle w:val="26"/>
              <w:spacing w:line="360" w:lineRule="auto"/>
              <w:jc w:val="center"/>
              <w:rPr>
                <w:rFonts w:hAnsi="宋体"/>
              </w:rPr>
            </w:pPr>
            <w:r>
              <w:rPr>
                <w:rFonts w:hint="eastAsia" w:hAnsi="宋体"/>
              </w:rPr>
              <w:t>联合体投标</w:t>
            </w:r>
          </w:p>
        </w:tc>
        <w:tc>
          <w:tcPr>
            <w:tcW w:w="6520" w:type="dxa"/>
          </w:tcPr>
          <w:p>
            <w:pPr>
              <w:pStyle w:val="26"/>
              <w:spacing w:line="360" w:lineRule="auto"/>
              <w:rPr>
                <w:rFonts w:hAnsi="宋体"/>
              </w:rPr>
            </w:pPr>
            <w:r>
              <w:rPr>
                <w:rFonts w:hint="eastAsia" w:hAnsi="宋体"/>
              </w:rPr>
              <w:t>不接受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6"/>
              <w:spacing w:line="360" w:lineRule="auto"/>
              <w:jc w:val="center"/>
              <w:rPr>
                <w:rFonts w:hAnsi="宋体"/>
              </w:rPr>
            </w:pPr>
            <w:r>
              <w:rPr>
                <w:rFonts w:hint="eastAsia" w:hAnsi="宋体"/>
              </w:rPr>
              <w:t>7</w:t>
            </w:r>
          </w:p>
        </w:tc>
        <w:tc>
          <w:tcPr>
            <w:tcW w:w="1038" w:type="dxa"/>
            <w:vAlign w:val="center"/>
          </w:tcPr>
          <w:p>
            <w:pPr>
              <w:pStyle w:val="26"/>
              <w:spacing w:line="360" w:lineRule="auto"/>
              <w:jc w:val="center"/>
              <w:rPr>
                <w:rFonts w:hAnsi="宋体"/>
              </w:rPr>
            </w:pPr>
            <w:r>
              <w:rPr>
                <w:rFonts w:hint="eastAsia" w:hAnsi="宋体"/>
              </w:rPr>
              <w:t>6.1</w:t>
            </w:r>
          </w:p>
        </w:tc>
        <w:tc>
          <w:tcPr>
            <w:tcW w:w="1843" w:type="dxa"/>
            <w:vAlign w:val="center"/>
          </w:tcPr>
          <w:p>
            <w:pPr>
              <w:pStyle w:val="26"/>
              <w:spacing w:line="360" w:lineRule="auto"/>
              <w:jc w:val="center"/>
              <w:rPr>
                <w:rFonts w:hAnsi="宋体"/>
              </w:rPr>
            </w:pPr>
            <w:r>
              <w:rPr>
                <w:rFonts w:hint="eastAsia" w:hAnsi="宋体"/>
              </w:rPr>
              <w:t>踏勘现场</w:t>
            </w:r>
          </w:p>
        </w:tc>
        <w:tc>
          <w:tcPr>
            <w:tcW w:w="6520" w:type="dxa"/>
          </w:tcPr>
          <w:p>
            <w:pPr>
              <w:pStyle w:val="26"/>
              <w:spacing w:line="360" w:lineRule="auto"/>
              <w:rPr>
                <w:rFonts w:hAnsi="宋体"/>
              </w:rPr>
            </w:pPr>
            <w:r>
              <w:rPr>
                <w:rFonts w:hint="eastAsia" w:hAnsi="宋体"/>
              </w:rPr>
              <w:t>不统一组织</w:t>
            </w:r>
            <w:r>
              <w:rPr>
                <w:rFonts w:hint="eastAsia"/>
                <w:snapToGrid w:val="0"/>
              </w:rPr>
              <w:t>，由各投标人自行查看现场。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6"/>
              <w:spacing w:line="360" w:lineRule="auto"/>
              <w:jc w:val="center"/>
              <w:rPr>
                <w:rFonts w:hAnsi="宋体"/>
              </w:rPr>
            </w:pPr>
            <w:r>
              <w:rPr>
                <w:rFonts w:hint="eastAsia" w:hAnsi="宋体"/>
              </w:rPr>
              <w:t>8</w:t>
            </w:r>
          </w:p>
        </w:tc>
        <w:tc>
          <w:tcPr>
            <w:tcW w:w="1038" w:type="dxa"/>
            <w:vAlign w:val="center"/>
          </w:tcPr>
          <w:p>
            <w:pPr>
              <w:pStyle w:val="26"/>
              <w:spacing w:line="360" w:lineRule="auto"/>
              <w:jc w:val="center"/>
              <w:rPr>
                <w:rFonts w:hAnsi="宋体"/>
              </w:rPr>
            </w:pPr>
            <w:r>
              <w:rPr>
                <w:rFonts w:hAnsi="宋体"/>
              </w:rPr>
              <w:t>1</w:t>
            </w:r>
            <w:r>
              <w:rPr>
                <w:rFonts w:hint="eastAsia" w:hAnsi="宋体"/>
              </w:rPr>
              <w:t>4</w:t>
            </w:r>
            <w:r>
              <w:rPr>
                <w:rFonts w:hAnsi="宋体"/>
              </w:rPr>
              <w:t>.1</w:t>
            </w:r>
          </w:p>
        </w:tc>
        <w:tc>
          <w:tcPr>
            <w:tcW w:w="1843" w:type="dxa"/>
            <w:vAlign w:val="center"/>
          </w:tcPr>
          <w:p>
            <w:pPr>
              <w:pStyle w:val="26"/>
              <w:spacing w:line="360" w:lineRule="auto"/>
              <w:jc w:val="center"/>
              <w:rPr>
                <w:rFonts w:hAnsi="宋体"/>
              </w:rPr>
            </w:pPr>
            <w:r>
              <w:rPr>
                <w:rFonts w:hint="eastAsia" w:hAnsi="宋体"/>
              </w:rPr>
              <w:t>投标有效期</w:t>
            </w:r>
          </w:p>
        </w:tc>
        <w:tc>
          <w:tcPr>
            <w:tcW w:w="6520" w:type="dxa"/>
          </w:tcPr>
          <w:p>
            <w:pPr>
              <w:pStyle w:val="26"/>
              <w:spacing w:line="360" w:lineRule="auto"/>
              <w:rPr>
                <w:rFonts w:hAnsi="宋体"/>
              </w:rPr>
            </w:pPr>
            <w:r>
              <w:rPr>
                <w:rFonts w:hint="eastAsia" w:hAnsi="宋体"/>
              </w:rPr>
              <w:t>90</w:t>
            </w:r>
            <w:r>
              <w:rPr>
                <w:rFonts w:hAnsi="宋体"/>
              </w:rPr>
              <w:t>日历天（从投标截止之日算起）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6"/>
              <w:spacing w:line="360" w:lineRule="auto"/>
              <w:jc w:val="center"/>
              <w:rPr>
                <w:rFonts w:hAnsi="宋体"/>
              </w:rPr>
            </w:pPr>
            <w:r>
              <w:rPr>
                <w:rFonts w:hint="eastAsia" w:hAnsi="宋体"/>
              </w:rPr>
              <w:t>9</w:t>
            </w:r>
          </w:p>
        </w:tc>
        <w:tc>
          <w:tcPr>
            <w:tcW w:w="1038" w:type="dxa"/>
            <w:vAlign w:val="center"/>
          </w:tcPr>
          <w:p>
            <w:pPr>
              <w:pStyle w:val="26"/>
              <w:spacing w:line="360" w:lineRule="auto"/>
              <w:jc w:val="center"/>
              <w:rPr>
                <w:rFonts w:hAnsi="宋体"/>
              </w:rPr>
            </w:pPr>
            <w:r>
              <w:rPr>
                <w:rFonts w:hAnsi="宋体"/>
              </w:rPr>
              <w:t>1</w:t>
            </w:r>
            <w:r>
              <w:rPr>
                <w:rFonts w:hint="eastAsia" w:hAnsi="宋体"/>
              </w:rPr>
              <w:t>5</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投标保证金</w:t>
            </w:r>
          </w:p>
        </w:tc>
        <w:tc>
          <w:tcPr>
            <w:tcW w:w="6520" w:type="dxa"/>
            <w:vAlign w:val="center"/>
          </w:tcPr>
          <w:p>
            <w:pPr>
              <w:tabs>
                <w:tab w:val="left" w:pos="915"/>
              </w:tabs>
              <w:spacing w:line="360" w:lineRule="exact"/>
              <w:rPr>
                <w:rFonts w:hAnsi="宋体"/>
              </w:rPr>
            </w:pPr>
            <w:r>
              <w:rPr>
                <w:rFonts w:hint="eastAsia" w:hAnsi="宋体"/>
              </w:rPr>
              <w:t>不要求向采购代理机构提交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28" w:type="dxa"/>
            <w:vAlign w:val="center"/>
          </w:tcPr>
          <w:p>
            <w:pPr>
              <w:pStyle w:val="26"/>
              <w:spacing w:line="360" w:lineRule="auto"/>
              <w:jc w:val="center"/>
              <w:rPr>
                <w:rFonts w:hAnsi="宋体"/>
              </w:rPr>
            </w:pPr>
            <w:r>
              <w:rPr>
                <w:rFonts w:hint="eastAsia" w:hAnsi="宋体"/>
              </w:rPr>
              <w:t>10</w:t>
            </w:r>
          </w:p>
        </w:tc>
        <w:tc>
          <w:tcPr>
            <w:tcW w:w="1038" w:type="dxa"/>
            <w:vAlign w:val="center"/>
          </w:tcPr>
          <w:p>
            <w:pPr>
              <w:pStyle w:val="26"/>
              <w:spacing w:line="360" w:lineRule="auto"/>
              <w:jc w:val="center"/>
              <w:rPr>
                <w:rFonts w:hAnsi="宋体"/>
              </w:rPr>
            </w:pPr>
            <w:r>
              <w:rPr>
                <w:rFonts w:hint="eastAsia" w:hAnsi="宋体"/>
              </w:rPr>
              <w:t>16.1</w:t>
            </w:r>
          </w:p>
        </w:tc>
        <w:tc>
          <w:tcPr>
            <w:tcW w:w="1843" w:type="dxa"/>
            <w:vAlign w:val="center"/>
          </w:tcPr>
          <w:p>
            <w:pPr>
              <w:pStyle w:val="26"/>
              <w:spacing w:line="360" w:lineRule="auto"/>
              <w:jc w:val="center"/>
              <w:rPr>
                <w:rFonts w:hAnsi="宋体"/>
              </w:rPr>
            </w:pPr>
            <w:r>
              <w:rPr>
                <w:rFonts w:hint="eastAsia" w:hAnsi="宋体"/>
              </w:rPr>
              <w:t>投标预备会</w:t>
            </w:r>
          </w:p>
          <w:p>
            <w:pPr>
              <w:pStyle w:val="26"/>
              <w:spacing w:line="360" w:lineRule="auto"/>
              <w:jc w:val="center"/>
              <w:rPr>
                <w:rFonts w:hAnsi="宋体"/>
              </w:rPr>
            </w:pPr>
            <w:r>
              <w:rPr>
                <w:rFonts w:hint="eastAsia" w:hAnsi="宋体"/>
              </w:rPr>
              <w:t>（答疑会）</w:t>
            </w:r>
          </w:p>
        </w:tc>
        <w:tc>
          <w:tcPr>
            <w:tcW w:w="6520" w:type="dxa"/>
            <w:vAlign w:val="center"/>
          </w:tcPr>
          <w:p>
            <w:pPr>
              <w:pStyle w:val="26"/>
              <w:spacing w:line="360" w:lineRule="auto"/>
              <w:rPr>
                <w:rFonts w:hAnsi="宋体"/>
              </w:rPr>
            </w:pPr>
            <w:r>
              <w:rPr>
                <w:rFonts w:hint="eastAsia" w:hAnsi="宋体"/>
              </w:rPr>
              <w:t>不召开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11</w:t>
            </w:r>
          </w:p>
        </w:tc>
        <w:tc>
          <w:tcPr>
            <w:tcW w:w="1038" w:type="dxa"/>
            <w:vAlign w:val="center"/>
          </w:tcPr>
          <w:p>
            <w:pPr>
              <w:pStyle w:val="26"/>
              <w:spacing w:line="360" w:lineRule="auto"/>
              <w:jc w:val="center"/>
              <w:rPr>
                <w:rFonts w:hAnsi="宋体"/>
              </w:rPr>
            </w:pPr>
            <w:r>
              <w:rPr>
                <w:rFonts w:hAnsi="宋体"/>
              </w:rPr>
              <w:t>1</w:t>
            </w:r>
            <w:r>
              <w:rPr>
                <w:rFonts w:hint="eastAsia" w:hAnsi="宋体"/>
              </w:rPr>
              <w:t>7</w:t>
            </w:r>
            <w:r>
              <w:rPr>
                <w:rFonts w:hAnsi="宋体"/>
              </w:rPr>
              <w:t>.1</w:t>
            </w:r>
          </w:p>
        </w:tc>
        <w:tc>
          <w:tcPr>
            <w:tcW w:w="1843" w:type="dxa"/>
            <w:vAlign w:val="center"/>
          </w:tcPr>
          <w:p>
            <w:pPr>
              <w:pStyle w:val="26"/>
              <w:spacing w:line="360" w:lineRule="auto"/>
              <w:jc w:val="center"/>
              <w:rPr>
                <w:rFonts w:hAnsi="宋体"/>
              </w:rPr>
            </w:pPr>
            <w:r>
              <w:rPr>
                <w:rFonts w:hint="eastAsia" w:hAnsi="宋体"/>
              </w:rPr>
              <w:t>投标文件份数</w:t>
            </w:r>
          </w:p>
        </w:tc>
        <w:tc>
          <w:tcPr>
            <w:tcW w:w="6520" w:type="dxa"/>
          </w:tcPr>
          <w:p>
            <w:pPr>
              <w:pStyle w:val="26"/>
              <w:spacing w:line="360" w:lineRule="auto"/>
              <w:rPr>
                <w:rFonts w:hAnsi="宋体"/>
              </w:rPr>
            </w:pPr>
            <w:r>
              <w:rPr>
                <w:rFonts w:asciiTheme="minorEastAsia" w:hAnsiTheme="minorEastAsia" w:eastAsiaTheme="minorEastAsia"/>
              </w:rPr>
              <w:t xml:space="preserve">正本1份，副本 </w:t>
            </w:r>
            <w:r>
              <w:rPr>
                <w:rFonts w:hint="eastAsia" w:asciiTheme="minorEastAsia" w:hAnsiTheme="minorEastAsia" w:eastAsiaTheme="minorEastAsia"/>
              </w:rPr>
              <w:t>5</w:t>
            </w:r>
            <w:r>
              <w:rPr>
                <w:rFonts w:asciiTheme="minorEastAsia" w:hAnsiTheme="minorEastAsia" w:eastAsiaTheme="minorEastAsia"/>
              </w:rPr>
              <w:t xml:space="preserve"> 份，</w:t>
            </w:r>
            <w:r>
              <w:rPr>
                <w:rFonts w:hint="eastAsia" w:asciiTheme="minorEastAsia" w:hAnsiTheme="minorEastAsia" w:eastAsiaTheme="minorEastAsia"/>
              </w:rPr>
              <w:t>电子</w:t>
            </w:r>
            <w:r>
              <w:rPr>
                <w:rFonts w:asciiTheme="minorEastAsia" w:hAnsiTheme="minorEastAsia" w:eastAsiaTheme="minorEastAsia"/>
              </w:rPr>
              <w:t>备份光盘（或U盘）1份</w:t>
            </w:r>
            <w:r>
              <w:rPr>
                <w:rFonts w:hint="eastAsia" w:asciiTheme="minorEastAsia" w:hAnsiTheme="minorEastAsia" w:eastAsiaTheme="minorEastAsia"/>
              </w:rPr>
              <w:t>（内容为投标文件正本盖章扫描件），</w:t>
            </w:r>
            <w:r>
              <w:rPr>
                <w:rFonts w:hint="eastAsia" w:asciiTheme="minorEastAsia" w:hAnsiTheme="minorEastAsia" w:eastAsiaTheme="minorEastAsia"/>
                <w:snapToGrid w:val="0"/>
                <w:kern w:val="0"/>
              </w:rPr>
              <w:t>投标文件必须标注页码并装订成册</w:t>
            </w:r>
            <w:r>
              <w:rPr>
                <w:rFonts w:hint="eastAsia" w:asciiTheme="minorEastAsia" w:hAnsiTheme="minorEastAsia" w:eastAsiaTheme="minorEastAsia"/>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12</w:t>
            </w:r>
          </w:p>
        </w:tc>
        <w:tc>
          <w:tcPr>
            <w:tcW w:w="1038" w:type="dxa"/>
            <w:vAlign w:val="center"/>
          </w:tcPr>
          <w:p>
            <w:pPr>
              <w:pStyle w:val="26"/>
              <w:spacing w:line="360" w:lineRule="auto"/>
              <w:jc w:val="center"/>
              <w:rPr>
                <w:rFonts w:hAnsi="宋体"/>
              </w:rPr>
            </w:pPr>
            <w:r>
              <w:rPr>
                <w:rFonts w:hAnsi="宋体"/>
              </w:rPr>
              <w:t>1</w:t>
            </w:r>
            <w:r>
              <w:rPr>
                <w:rFonts w:hint="eastAsia" w:hAnsi="宋体"/>
              </w:rPr>
              <w:t>8</w:t>
            </w:r>
            <w:r>
              <w:rPr>
                <w:rFonts w:hAnsi="宋体"/>
              </w:rPr>
              <w:t>.</w:t>
            </w:r>
            <w:r>
              <w:rPr>
                <w:rFonts w:hint="eastAsia" w:hAnsi="宋体"/>
              </w:rPr>
              <w:t>8</w:t>
            </w:r>
          </w:p>
        </w:tc>
        <w:tc>
          <w:tcPr>
            <w:tcW w:w="1843" w:type="dxa"/>
            <w:vAlign w:val="center"/>
          </w:tcPr>
          <w:p>
            <w:pPr>
              <w:pStyle w:val="26"/>
              <w:spacing w:line="360" w:lineRule="auto"/>
              <w:jc w:val="center"/>
              <w:rPr>
                <w:rFonts w:hAnsi="宋体"/>
              </w:rPr>
            </w:pPr>
            <w:r>
              <w:rPr>
                <w:rFonts w:hint="eastAsia" w:hAnsi="宋体"/>
              </w:rPr>
              <w:t>开标</w:t>
            </w:r>
          </w:p>
        </w:tc>
        <w:tc>
          <w:tcPr>
            <w:tcW w:w="6520" w:type="dxa"/>
          </w:tcPr>
          <w:p>
            <w:pPr>
              <w:pStyle w:val="26"/>
              <w:spacing w:line="360" w:lineRule="auto"/>
              <w:rPr>
                <w:rFonts w:hAnsi="宋体"/>
              </w:rPr>
            </w:pPr>
            <w:r>
              <w:rPr>
                <w:rFonts w:hint="eastAsia" w:hAnsi="宋体"/>
                <w:szCs w:val="21"/>
              </w:rPr>
              <w:t>详见《第一章 投标邀请》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13</w:t>
            </w:r>
          </w:p>
        </w:tc>
        <w:tc>
          <w:tcPr>
            <w:tcW w:w="1038" w:type="dxa"/>
            <w:vAlign w:val="center"/>
          </w:tcPr>
          <w:p>
            <w:pPr>
              <w:pStyle w:val="26"/>
              <w:spacing w:line="360" w:lineRule="auto"/>
              <w:jc w:val="center"/>
              <w:rPr>
                <w:rFonts w:hAnsi="宋体"/>
              </w:rPr>
            </w:pPr>
            <w:r>
              <w:rPr>
                <w:rFonts w:hAnsi="宋体"/>
              </w:rPr>
              <w:t>1</w:t>
            </w:r>
            <w:r>
              <w:rPr>
                <w:rFonts w:hint="eastAsia" w:hAnsi="宋体"/>
              </w:rPr>
              <w:t>9</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投标截止时间</w:t>
            </w:r>
          </w:p>
        </w:tc>
        <w:tc>
          <w:tcPr>
            <w:tcW w:w="6520" w:type="dxa"/>
          </w:tcPr>
          <w:p>
            <w:pPr>
              <w:pStyle w:val="26"/>
              <w:spacing w:line="360" w:lineRule="auto"/>
              <w:rPr>
                <w:rFonts w:hAnsi="宋体"/>
                <w:b/>
              </w:rPr>
            </w:pPr>
            <w:r>
              <w:rPr>
                <w:rFonts w:hint="eastAsia" w:hAnsi="宋体"/>
                <w:szCs w:val="21"/>
              </w:rPr>
              <w:t>详见《第一章 投标邀请》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14</w:t>
            </w:r>
          </w:p>
        </w:tc>
        <w:tc>
          <w:tcPr>
            <w:tcW w:w="1038" w:type="dxa"/>
            <w:vAlign w:val="center"/>
          </w:tcPr>
          <w:p>
            <w:pPr>
              <w:pStyle w:val="26"/>
              <w:spacing w:line="360" w:lineRule="auto"/>
              <w:jc w:val="center"/>
              <w:rPr>
                <w:rFonts w:hAnsi="宋体"/>
              </w:rPr>
            </w:pPr>
            <w:r>
              <w:rPr>
                <w:rFonts w:hint="eastAsia" w:hAnsi="宋体"/>
              </w:rPr>
              <w:t>26</w:t>
            </w:r>
            <w:r>
              <w:rPr>
                <w:rFonts w:hAnsi="宋体"/>
              </w:rPr>
              <w:t>.</w:t>
            </w:r>
            <w:r>
              <w:rPr>
                <w:rFonts w:hint="eastAsia" w:hAnsi="宋体"/>
              </w:rPr>
              <w:t>3</w:t>
            </w:r>
          </w:p>
        </w:tc>
        <w:tc>
          <w:tcPr>
            <w:tcW w:w="1843" w:type="dxa"/>
            <w:vAlign w:val="center"/>
          </w:tcPr>
          <w:p>
            <w:pPr>
              <w:pStyle w:val="26"/>
              <w:spacing w:line="360" w:lineRule="auto"/>
              <w:jc w:val="center"/>
              <w:rPr>
                <w:rFonts w:hAnsi="宋体"/>
              </w:rPr>
            </w:pPr>
            <w:r>
              <w:rPr>
                <w:rFonts w:hint="eastAsia" w:hAnsi="宋体"/>
              </w:rPr>
              <w:t>评标办法</w:t>
            </w:r>
          </w:p>
        </w:tc>
        <w:tc>
          <w:tcPr>
            <w:tcW w:w="6520" w:type="dxa"/>
          </w:tcPr>
          <w:p>
            <w:pPr>
              <w:pStyle w:val="26"/>
              <w:spacing w:line="360" w:lineRule="auto"/>
              <w:rPr>
                <w:rFonts w:hAnsi="宋体"/>
              </w:rPr>
            </w:pPr>
            <w:r>
              <w:rPr>
                <w:rFonts w:hint="eastAsia" w:hAnsi="宋体"/>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15</w:t>
            </w:r>
          </w:p>
        </w:tc>
        <w:tc>
          <w:tcPr>
            <w:tcW w:w="1038" w:type="dxa"/>
            <w:vAlign w:val="center"/>
          </w:tcPr>
          <w:p>
            <w:pPr>
              <w:pStyle w:val="26"/>
              <w:spacing w:line="360" w:lineRule="auto"/>
              <w:jc w:val="center"/>
              <w:rPr>
                <w:rFonts w:hAnsi="宋体"/>
              </w:rPr>
            </w:pPr>
            <w:r>
              <w:rPr>
                <w:rFonts w:hint="eastAsia" w:hAnsi="宋体"/>
              </w:rPr>
              <w:t>33</w:t>
            </w:r>
            <w:r>
              <w:rPr>
                <w:rFonts w:hAnsi="宋体"/>
              </w:rPr>
              <w:t>.1</w:t>
            </w:r>
          </w:p>
        </w:tc>
        <w:tc>
          <w:tcPr>
            <w:tcW w:w="1843" w:type="dxa"/>
            <w:vAlign w:val="center"/>
          </w:tcPr>
          <w:p>
            <w:pPr>
              <w:pStyle w:val="26"/>
              <w:spacing w:line="360" w:lineRule="auto"/>
              <w:jc w:val="center"/>
              <w:rPr>
                <w:snapToGrid w:val="0"/>
                <w:kern w:val="0"/>
              </w:rPr>
            </w:pPr>
            <w:r>
              <w:rPr>
                <w:rFonts w:hint="eastAsia"/>
                <w:snapToGrid w:val="0"/>
                <w:kern w:val="0"/>
              </w:rPr>
              <w:t>履约保证金</w:t>
            </w:r>
          </w:p>
        </w:tc>
        <w:tc>
          <w:tcPr>
            <w:tcW w:w="6520" w:type="dxa"/>
          </w:tcPr>
          <w:p>
            <w:pPr>
              <w:pStyle w:val="26"/>
              <w:spacing w:line="360" w:lineRule="auto"/>
              <w:rPr>
                <w:rFonts w:hAnsi="宋体"/>
              </w:rPr>
            </w:pPr>
            <w:r>
              <w:rPr>
                <w:rFonts w:hint="eastAsia"/>
                <w:snapToGrid w:val="0"/>
                <w:kern w:val="0"/>
              </w:rPr>
              <w:t>按签订的合同条款执行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16</w:t>
            </w:r>
          </w:p>
        </w:tc>
        <w:tc>
          <w:tcPr>
            <w:tcW w:w="1038" w:type="dxa"/>
            <w:vAlign w:val="center"/>
          </w:tcPr>
          <w:p>
            <w:pPr>
              <w:pStyle w:val="26"/>
              <w:spacing w:line="360" w:lineRule="auto"/>
              <w:jc w:val="center"/>
              <w:rPr>
                <w:rFonts w:hAnsi="宋体"/>
              </w:rPr>
            </w:pPr>
            <w:r>
              <w:rPr>
                <w:rFonts w:hint="eastAsia" w:hAnsi="宋体"/>
              </w:rPr>
              <w:t>34</w:t>
            </w:r>
            <w:r>
              <w:rPr>
                <w:rFonts w:hAnsi="宋体"/>
              </w:rPr>
              <w:t>.</w:t>
            </w:r>
            <w:r>
              <w:rPr>
                <w:rFonts w:hint="eastAsia" w:hAnsi="宋体"/>
              </w:rPr>
              <w:t>1</w:t>
            </w:r>
          </w:p>
        </w:tc>
        <w:tc>
          <w:tcPr>
            <w:tcW w:w="1843" w:type="dxa"/>
            <w:vAlign w:val="center"/>
          </w:tcPr>
          <w:p>
            <w:pPr>
              <w:pStyle w:val="26"/>
              <w:spacing w:line="360" w:lineRule="auto"/>
              <w:jc w:val="center"/>
              <w:rPr>
                <w:rFonts w:hAnsi="宋体"/>
              </w:rPr>
            </w:pPr>
            <w:r>
              <w:rPr>
                <w:rFonts w:hint="eastAsia" w:hAnsi="宋体"/>
              </w:rPr>
              <w:t>中标服务费</w:t>
            </w:r>
          </w:p>
        </w:tc>
        <w:tc>
          <w:tcPr>
            <w:tcW w:w="6520" w:type="dxa"/>
          </w:tcPr>
          <w:p>
            <w:pPr>
              <w:pStyle w:val="26"/>
              <w:spacing w:line="360" w:lineRule="auto"/>
              <w:rPr>
                <w:rFonts w:asciiTheme="minorEastAsia" w:hAnsiTheme="minorEastAsia" w:eastAsiaTheme="minorEastAsia"/>
                <w:szCs w:val="21"/>
              </w:rPr>
            </w:pPr>
            <w:r>
              <w:rPr>
                <w:rFonts w:hint="eastAsia" w:asciiTheme="minorEastAsia" w:hAnsiTheme="minorEastAsia" w:eastAsiaTheme="minorEastAsia"/>
                <w:szCs w:val="21"/>
              </w:rPr>
              <w:t>按深财购[2018]27号文件规定的代理费用参考标准，向中标供应商收取中标服务费，具体如下：</w:t>
            </w:r>
          </w:p>
          <w:p>
            <w:pPr>
              <w:pStyle w:val="26"/>
              <w:spacing w:line="360" w:lineRule="auto"/>
              <w:rPr>
                <w:rFonts w:asciiTheme="minorEastAsia" w:hAnsiTheme="minorEastAsia" w:eastAsiaTheme="minorEastAsia"/>
              </w:rPr>
            </w:pPr>
            <w:r>
              <w:rPr>
                <w:rFonts w:hint="eastAsia" w:hAnsi="宋体" w:eastAsia="MS Mincho" w:cs="MS Mincho"/>
                <w:sz w:val="24"/>
                <w:szCs w:val="24"/>
              </w:rPr>
              <w:t>☑</w:t>
            </w:r>
            <w:r>
              <w:rPr>
                <w:rFonts w:hint="eastAsia" w:asciiTheme="minorEastAsia" w:hAnsiTheme="minorEastAsia" w:eastAsiaTheme="minorEastAsia"/>
                <w:szCs w:val="21"/>
              </w:rPr>
              <w:t>以中标金额作为计算依据</w:t>
            </w:r>
            <w:r>
              <w:rPr>
                <w:rFonts w:hint="eastAsia" w:asciiTheme="minorEastAsia" w:hAnsiTheme="minorEastAsia" w:eastAsiaTheme="minorEastAsia"/>
              </w:rPr>
              <w:t>，费用下浮</w:t>
            </w:r>
            <w:r>
              <w:rPr>
                <w:rFonts w:hint="eastAsia" w:asciiTheme="minorEastAsia" w:hAnsiTheme="minorEastAsia" w:eastAsiaTheme="minorEastAsia"/>
                <w:u w:val="single"/>
              </w:rPr>
              <w:t xml:space="preserve">  0  </w:t>
            </w:r>
            <w:r>
              <w:rPr>
                <w:rFonts w:hint="eastAsia" w:asciiTheme="minorEastAsia" w:hAnsiTheme="minorEastAsia" w:eastAsiaTheme="minorEastAsia"/>
              </w:rPr>
              <w:t>%，最低收取人民币7000元。</w:t>
            </w:r>
          </w:p>
          <w:p>
            <w:pPr>
              <w:pStyle w:val="26"/>
              <w:spacing w:line="360" w:lineRule="auto"/>
              <w:rPr>
                <w:rFonts w:hAnsi="宋体"/>
              </w:rPr>
            </w:pPr>
            <w:r>
              <w:rPr>
                <w:rFonts w:hint="eastAsia" w:hAnsi="宋体"/>
              </w:rPr>
              <w:t>□</w:t>
            </w:r>
            <w:r>
              <w:rPr>
                <w:rFonts w:hint="eastAsia" w:asciiTheme="minorEastAsia" w:hAnsiTheme="minorEastAsia" w:eastAsiaTheme="minorEastAsia"/>
                <w:szCs w:val="21"/>
              </w:rPr>
              <w:t>以预算金额（支付上限）作为计算依据</w:t>
            </w:r>
            <w:r>
              <w:rPr>
                <w:rFonts w:hint="eastAsia" w:asciiTheme="minorEastAsia" w:hAnsiTheme="minorEastAsia" w:eastAsiaTheme="minorEastAsia"/>
              </w:rPr>
              <w:t>，费用下浮</w:t>
            </w:r>
            <w:r>
              <w:rPr>
                <w:rFonts w:hint="eastAsia" w:asciiTheme="minorEastAsia" w:hAnsiTheme="minorEastAsia" w:eastAsiaTheme="minorEastAsia"/>
                <w:u w:val="single"/>
              </w:rPr>
              <w:t xml:space="preserve">  0  </w:t>
            </w:r>
            <w:r>
              <w:rPr>
                <w:rFonts w:hint="eastAsia" w:asciiTheme="minorEastAsia" w:hAnsiTheme="minorEastAsia" w:eastAsiaTheme="minorEastAsia"/>
              </w:rPr>
              <w:t>%，收取中标服务费：人民币</w:t>
            </w:r>
            <w:r>
              <w:rPr>
                <w:rFonts w:hint="eastAsia" w:asciiTheme="minorEastAsia" w:hAnsiTheme="minorEastAsia" w:eastAsiaTheme="minorEastAsia"/>
                <w:u w:val="single"/>
              </w:rPr>
              <w:t xml:space="preserve">        </w:t>
            </w:r>
            <w:r>
              <w:rPr>
                <w:rFonts w:hint="eastAsia" w:asciiTheme="minorEastAsia" w:hAnsiTheme="minorEastAsia" w:eastAsiaTheme="minorEastAsia"/>
              </w:rPr>
              <w:t>元。</w:t>
            </w:r>
          </w:p>
        </w:tc>
      </w:tr>
    </w:tbl>
    <w:p>
      <w:pPr>
        <w:rPr>
          <w:szCs w:val="21"/>
        </w:rPr>
      </w:pPr>
    </w:p>
    <w:p/>
    <w:p/>
    <w:p/>
    <w:p/>
    <w:p/>
    <w:p/>
    <w:p/>
    <w:p/>
    <w:p/>
    <w:p/>
    <w:p/>
    <w:p/>
    <w:p/>
    <w:p/>
    <w:p/>
    <w:p/>
    <w:p/>
    <w:p/>
    <w:p/>
    <w:p/>
    <w:p/>
    <w:p/>
    <w:p/>
    <w:p/>
    <w:p/>
    <w:p/>
    <w:p/>
    <w:p/>
    <w:p/>
    <w:p/>
    <w:p/>
    <w:p/>
    <w:p/>
    <w:p/>
    <w:p/>
    <w:p/>
    <w:p/>
    <w:p/>
    <w:p/>
    <w:p/>
    <w:p/>
    <w:p>
      <w:pPr>
        <w:pStyle w:val="2"/>
      </w:pPr>
      <w:bookmarkStart w:id="18" w:name="_Toc135293169"/>
      <w:r>
        <w:rPr>
          <w:rFonts w:hint="eastAsia"/>
        </w:rPr>
        <w:t>第六章  投标人须知</w:t>
      </w:r>
      <w:bookmarkEnd w:id="18"/>
    </w:p>
    <w:p>
      <w:pPr>
        <w:pStyle w:val="4"/>
        <w:spacing w:before="0" w:after="0"/>
      </w:pPr>
      <w:bookmarkStart w:id="19" w:name="_Toc135293170"/>
      <w:r>
        <w:rPr>
          <w:rFonts w:hint="eastAsia"/>
        </w:rPr>
        <w:t>一、说</w:t>
      </w:r>
      <w:r>
        <w:t xml:space="preserve">  </w:t>
      </w:r>
      <w:r>
        <w:rPr>
          <w:rFonts w:hint="eastAsia"/>
        </w:rPr>
        <w:t>明</w:t>
      </w:r>
      <w:bookmarkEnd w:id="19"/>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适用范围</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本招标文件仅适用于投标人须知前附表（以下简称“前附表”）第1项所叙述项目的货物、工程及服务采购。</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上述采购按照</w:t>
      </w:r>
      <w:r>
        <w:rPr>
          <w:rFonts w:hint="eastAsia" w:asciiTheme="minorEastAsia" w:hAnsiTheme="minorEastAsia"/>
          <w:szCs w:val="21"/>
        </w:rPr>
        <w:t>《中华人民共和国政府采购法》、《深圳经济特区政府采购条例》</w:t>
      </w:r>
      <w:r>
        <w:rPr>
          <w:rFonts w:hint="eastAsia" w:asciiTheme="minorEastAsia" w:hAnsiTheme="minorEastAsia" w:eastAsiaTheme="minorEastAsia"/>
          <w:snapToGrid w:val="0"/>
          <w:kern w:val="0"/>
        </w:rPr>
        <w:t>及有关招投标法规、规章、规定，通过招标来择优选定供应商。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 </w:t>
      </w:r>
      <w:r>
        <w:rPr>
          <w:rFonts w:hint="eastAsia" w:asciiTheme="minorEastAsia" w:hAnsiTheme="minorEastAsia" w:eastAsiaTheme="minorEastAsia"/>
          <w:b/>
          <w:snapToGrid w:val="0"/>
          <w:kern w:val="0"/>
        </w:rPr>
        <w:t>定义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”是指前附表第2项所述。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”是提前附表第3项所述。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“投标人”是指向</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提交投标文件的供应商。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“货物”是指各种形态和种类的物品，包括原材料、燃料、设备、产品等。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  “工程”是指建设工程，包括建筑物和构筑物的新建、改建、扩建、装修、拆除、修缮等。</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6  “服务”是指除货物和工程以外的其他政府采购对象，包括政府自身需要的服务和政府向社会公众提供的公共服务。</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 资金来源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  采购资金通过前附表第4 项的方式获得，并用于采购合同下的合格支付。</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合格的投标人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4.1  </w:t>
      </w:r>
      <w:r>
        <w:rPr>
          <w:rFonts w:hint="eastAsia" w:asciiTheme="minorEastAsia" w:hAnsiTheme="minorEastAsia" w:eastAsiaTheme="minorEastAsia"/>
          <w:snapToGrid w:val="0"/>
          <w:kern w:val="0"/>
        </w:rPr>
        <w:t>具有独立承担民事责任的能力。</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4.2  </w:t>
      </w:r>
      <w:r>
        <w:rPr>
          <w:rFonts w:hint="eastAsia" w:asciiTheme="minorEastAsia" w:hAnsiTheme="minorEastAsia" w:eastAsiaTheme="minorEastAsia"/>
          <w:snapToGrid w:val="0"/>
          <w:kern w:val="0"/>
        </w:rPr>
        <w:t>具有良好的商业信誉和健全的财务会计制度。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4.3  具有履行合同所必需的设备和专业技术能力。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4.4  有依法缴纳税收和社会保障资金的良好记录。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4.5  参加政府采购活动近三年内，在经营活动中没有重大违法记录。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4.6  法律、行政法规规定的其他条件。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4.7  符合前附表第5项规定的条件。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  联合体投标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4.8.1　以下有关联合体投标的条款仅适用于允许投标人组成联合体投标的项目。是否允许联合体投标以《投标人须知前附表》中第6项的规定或说明为准。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4.8.2  由两个或两个以上的自然人、法人或者其他组织可以组成一个联合体，以一个供应商的身份共同投标时，应符合以下原则：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（1）投标联合体各方参加政府采购活动应当具备下列条件：</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1、具有独立承担民事责任的能力；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2、具有良好的商业信誉和健全的财务会计制度；</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3、具有履行合同所必需的设备和专业技术能力；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4、有依法缴纳税收和社会保障资金的良好记录；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5、参加政府采购活动前三年内，在经营活动中没有重大违法记录；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6、法律、行政法规规定的其他条件。</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（2）联合体中有同类资质的供应商按照联合体分工承担相同工作的，应当按照资质等级较低的供应商确定资质等级。</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（3）是否允许联合体参加投标，应当由采购人和采购代理机构根据项目的实际情况和潜在供应商的数量自主决定，如果决定接受联合体投标则应当在采购公告中明示。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（4）采购人根据采购项目的特殊要求规定投标人特定条件的，联合体各方中至少应当有一方符合采购人规定的特定条件。对于招标公告</w:t>
      </w:r>
      <w:r>
        <w:rPr>
          <w:rFonts w:asciiTheme="minorEastAsia" w:hAnsiTheme="minorEastAsia" w:eastAsiaTheme="minorEastAsia"/>
          <w:snapToGrid w:val="0"/>
          <w:kern w:val="0"/>
        </w:rPr>
        <w:t>对投标人</w:t>
      </w:r>
      <w:r>
        <w:rPr>
          <w:rFonts w:hint="eastAsia" w:asciiTheme="minorEastAsia" w:hAnsiTheme="minorEastAsia" w:eastAsiaTheme="minorEastAsia"/>
          <w:snapToGrid w:val="0"/>
          <w:kern w:val="0"/>
        </w:rPr>
        <w:t>某一资格</w:t>
      </w:r>
      <w:r>
        <w:rPr>
          <w:rFonts w:asciiTheme="minorEastAsia" w:hAnsiTheme="minorEastAsia" w:eastAsiaTheme="minorEastAsia"/>
          <w:snapToGrid w:val="0"/>
          <w:kern w:val="0"/>
        </w:rPr>
        <w:t>有</w:t>
      </w:r>
      <w:r>
        <w:rPr>
          <w:rFonts w:hint="eastAsia" w:asciiTheme="minorEastAsia" w:hAnsiTheme="minorEastAsia" w:eastAsiaTheme="minorEastAsia"/>
          <w:snapToGrid w:val="0"/>
          <w:kern w:val="0"/>
        </w:rPr>
        <w:t>要求</w:t>
      </w:r>
      <w:r>
        <w:rPr>
          <w:rFonts w:asciiTheme="minorEastAsia" w:hAnsiTheme="minorEastAsia" w:eastAsiaTheme="minorEastAsia"/>
          <w:snapToGrid w:val="0"/>
          <w:kern w:val="0"/>
        </w:rPr>
        <w:t>的，</w:t>
      </w:r>
      <w:r>
        <w:rPr>
          <w:rFonts w:hint="eastAsia" w:asciiTheme="minorEastAsia" w:hAnsiTheme="minorEastAsia" w:eastAsiaTheme="minorEastAsia"/>
          <w:snapToGrid w:val="0"/>
          <w:kern w:val="0"/>
        </w:rPr>
        <w:t>按照联合体各方中最低资质等级确定联合体的资质等级；联合体各方的不同资质可优势互补。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（5）投标人的投标文件及中标后签署的合同协议对联合体各方均具法律约束力。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（6）联合体各方应当签订共同投标协议，明确约定各方拟承担的工作和责任，该共同投标协议应作为投标文件不可缺的组成部分。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（7）联合体中标后，联合体各方应当共同与采购人签订合同，就中标项目向采购人承担连带责任。</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（8）联合体的各方应当共同推荐一联合体投标授权代表，由联合体各方提交一份授权书，证明其有资格代表联合体各方签署投标文件，该授权书应作为投标文件不可缺的组成部分。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以联合体形式参加政府采购活动的，联合体各方不得再单独参加或者与其他供应商另外组成联合体参加同一合同项下的政府采购活动，出现上述情况者，其投标和与此有关的联合体、总包单位的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（10）本次招标中“投标人”一词亦指联合体各方，《投标人须知前附表》另有规定或说明的除外。</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投标费用的承担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无论招标投标过程中的做法和结果如何，投标人自行承担所有与参加投标有关的全部费用。</w:t>
      </w:r>
    </w:p>
    <w:p>
      <w:pPr>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6.  踏勘现场</w:t>
      </w:r>
    </w:p>
    <w:p>
      <w:pPr>
        <w:spacing w:line="360" w:lineRule="auto"/>
        <w:rPr>
          <w:rFonts w:asciiTheme="minorEastAsia" w:hAnsiTheme="minorEastAsia" w:eastAsiaTheme="minorEastAsia"/>
        </w:rPr>
      </w:pPr>
      <w:r>
        <w:rPr>
          <w:rFonts w:hint="eastAsia" w:asciiTheme="minorEastAsia" w:hAnsiTheme="minorEastAsia" w:eastAsiaTheme="minorEastAsia"/>
        </w:rPr>
        <w:t>6.1  本项目按前附表第7项的规定安排现场踏勘，以便投标人获取须自己负责的有关编制投标文件和签署合同所需的所有资料。踏勘现场所发生的费用由投标人自己承担。</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6.2 </w:t>
      </w:r>
      <w:r>
        <w:rPr>
          <w:rFonts w:hint="eastAsia" w:asciiTheme="minorEastAsia" w:hAnsiTheme="minorEastAsia" w:eastAsiaTheme="minorEastAsia"/>
          <w:bCs/>
        </w:rPr>
        <w:t xml:space="preserve"> 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向投标人提供的有关现场的资料和数据，是</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现有的能使投标人利用的资料。</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对投标人由此而做出的推论、理解和结论概不负责。</w:t>
      </w:r>
    </w:p>
    <w:p>
      <w:pPr>
        <w:spacing w:line="360" w:lineRule="auto"/>
        <w:rPr>
          <w:rFonts w:asciiTheme="minorEastAsia" w:hAnsiTheme="minorEastAsia" w:eastAsiaTheme="minorEastAsia"/>
        </w:rPr>
      </w:pPr>
      <w:r>
        <w:rPr>
          <w:rFonts w:hint="eastAsia" w:asciiTheme="minorEastAsia" w:hAnsiTheme="minorEastAsia" w:eastAsiaTheme="minorEastAsia"/>
        </w:rPr>
        <w:t>6.3  投标人及其人员经过</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的允许，可为踏勘目的进入</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rPr>
        <w:t>的现场，但投标人及其人员不得因此使</w:t>
      </w:r>
      <w:r>
        <w:rPr>
          <w:rFonts w:hint="eastAsia" w:asciiTheme="minorEastAsia" w:hAnsiTheme="minorEastAsia" w:eastAsiaTheme="minorEastAsia"/>
          <w:bCs/>
        </w:rPr>
        <w:t>采购人</w:t>
      </w:r>
      <w:r>
        <w:rPr>
          <w:rFonts w:hint="eastAsia" w:asciiTheme="minorEastAsia" w:hAnsiTheme="minorEastAsia" w:eastAsiaTheme="minorEastAsia"/>
        </w:rPr>
        <w:t>及其人员承担有关的责任和蒙受损失。投标人并应对由此次踏勘现场面造成的死亡、人身伤害、财产损失、损害以及任何其它损失、损害和引起的费用和开支承担责任。</w:t>
      </w:r>
    </w:p>
    <w:p>
      <w:pPr>
        <w:spacing w:line="360" w:lineRule="auto"/>
        <w:rPr>
          <w:rFonts w:asciiTheme="minorEastAsia" w:hAnsiTheme="minorEastAsia" w:eastAsiaTheme="minorEastAsia"/>
        </w:rPr>
      </w:pPr>
      <w:r>
        <w:rPr>
          <w:rFonts w:hint="eastAsia" w:asciiTheme="minorEastAsia" w:hAnsiTheme="minorEastAsia" w:eastAsiaTheme="minorEastAsia"/>
        </w:rPr>
        <w:t>6.4   如果投标人认为需要再次进行现场踏勘，</w:t>
      </w:r>
      <w:r>
        <w:rPr>
          <w:rFonts w:hint="eastAsia" w:asciiTheme="minorEastAsia" w:hAnsiTheme="minorEastAsia" w:eastAsiaTheme="minorEastAsia"/>
          <w:bCs/>
        </w:rPr>
        <w:t>采购人</w:t>
      </w:r>
      <w:r>
        <w:rPr>
          <w:rFonts w:hint="eastAsia" w:asciiTheme="minorEastAsia" w:hAnsiTheme="minorEastAsia" w:eastAsiaTheme="minorEastAsia"/>
        </w:rPr>
        <w:t>将予以支持，费用自理。</w:t>
      </w:r>
    </w:p>
    <w:p>
      <w:pPr>
        <w:adjustRightInd w:val="0"/>
        <w:spacing w:line="360" w:lineRule="auto"/>
        <w:jc w:val="center"/>
        <w:rPr>
          <w:rFonts w:asciiTheme="minorEastAsia" w:hAnsiTheme="minorEastAsia" w:eastAsiaTheme="minorEastAsia"/>
          <w:b/>
          <w:snapToGrid w:val="0"/>
          <w:kern w:val="0"/>
        </w:rPr>
      </w:pPr>
      <w:bookmarkStart w:id="20" w:name="q5"/>
      <w:bookmarkEnd w:id="20"/>
    </w:p>
    <w:p>
      <w:pPr>
        <w:pStyle w:val="4"/>
        <w:spacing w:before="0" w:after="0"/>
      </w:pPr>
      <w:bookmarkStart w:id="21" w:name="_Toc135293171"/>
      <w:r>
        <w:rPr>
          <w:rFonts w:hint="eastAsia"/>
        </w:rPr>
        <w:t>二、招标文件说明</w:t>
      </w:r>
      <w:bookmarkEnd w:id="21"/>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7</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招标文件是用以阐明所需设备及服务的情况，以及招标、投标程序和相应的合同条款。招标文件由下述部分组成：</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第一章 投标邀请；</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第二章 项目需求；</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第三章 投标文件初审；</w:t>
      </w:r>
      <w:r>
        <w:rPr>
          <w:rFonts w:asciiTheme="minorEastAsia" w:hAnsiTheme="minorEastAsia" w:eastAsiaTheme="minorEastAsia"/>
          <w:snapToGrid w:val="0"/>
          <w:kern w:val="0"/>
        </w:rPr>
        <w:t xml:space="preserve"> </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第四章 评标方法和标准；</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第五章 投标人须知前附表；</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第六章 投标人须知；</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第七章 投标文件格式；</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第八章 合同条款；</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第九章 附件。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招标文件的澄清及修改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8.1  投标人对招标文件如有疑点，可要求澄清，应在投标截止日5日前按投标邀请中载明的地址以书面形式（包括信函、传真，下同）通知到采购代理机构。采购代理机构将视情况确定采用适当方式予以澄清或以书面形式予以答复，并在其认为必要时，将不标明查询来源的书面答复发给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8.2  在投标截止日3日前，采购代理机构可主动或依据投标人要求澄清的问题修改招标文件，并以书面形式通知所有购买招标文件的每一投标人，对方在收到该通知后应立即以书面的形式予以确认。</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为了使投标人在准备投标文件时有合理的时间考虑招标文件的修改，</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可酌情推迟投标截止时间和开标时间，并以书面形式通知已购买招标文件的每一投标人。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招标文件的修改将构成招标文件的一部分，对投标人有约束力。</w:t>
      </w:r>
    </w:p>
    <w:p>
      <w:pPr>
        <w:adjustRightInd w:val="0"/>
        <w:spacing w:line="360" w:lineRule="auto"/>
        <w:ind w:firstLine="600"/>
        <w:jc w:val="center"/>
        <w:rPr>
          <w:rFonts w:asciiTheme="minorEastAsia" w:hAnsiTheme="minorEastAsia" w:eastAsiaTheme="minorEastAsia"/>
          <w:b/>
          <w:snapToGrid w:val="0"/>
          <w:kern w:val="0"/>
        </w:rPr>
      </w:pPr>
    </w:p>
    <w:p>
      <w:pPr>
        <w:pStyle w:val="4"/>
        <w:spacing w:before="0" w:after="0"/>
      </w:pPr>
      <w:bookmarkStart w:id="22" w:name="q6"/>
      <w:bookmarkEnd w:id="22"/>
      <w:bookmarkStart w:id="23" w:name="_Toc135293172"/>
      <w:r>
        <w:rPr>
          <w:rFonts w:hint="eastAsia"/>
        </w:rPr>
        <w:t>三、投标文件的编写</w:t>
      </w:r>
      <w:bookmarkEnd w:id="23"/>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投标语言及计量单位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投标文件及投标人和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就投标交换的文件和往来的信件，应以中文书写。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除在招标文件的设计思路和方案中另有规定外，计量单位应使用中华人民共和国法定计量单位（国际单位制和国家选定的其他计量单位）。</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投标文件应包括下列部分：</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（1）目录</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（2）政府采购违法行为风险知悉确认书</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（3）评标指引表</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napToGrid w:val="0"/>
          <w:kern w:val="0"/>
          <w:szCs w:val="21"/>
        </w:rPr>
        <w:t>投标人资格证明文件</w:t>
      </w:r>
      <w:r>
        <w:rPr>
          <w:rFonts w:hint="eastAsia" w:asciiTheme="minorEastAsia" w:hAnsiTheme="minorEastAsia" w:eastAsiaTheme="minorEastAsia"/>
          <w:snapToGrid w:val="0"/>
          <w:kern w:val="0"/>
        </w:rPr>
        <w:t>（投标文件格式1）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（5）法定代表人（负责人）证明书及授权委托书（投标文件格式2）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（6）投标函（投标文件格式3）</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hint="eastAsia" w:asciiTheme="minorEastAsia" w:hAnsiTheme="minorEastAsia" w:eastAsiaTheme="minorEastAsia"/>
          <w:snapToGrid w:val="0"/>
          <w:kern w:val="0"/>
          <w:szCs w:val="21"/>
        </w:rPr>
        <w:t>评分中涉及的承诺及声明函</w:t>
      </w:r>
      <w:r>
        <w:rPr>
          <w:rFonts w:hint="eastAsia" w:asciiTheme="minorEastAsia" w:hAnsiTheme="minorEastAsia" w:eastAsiaTheme="minorEastAsia"/>
          <w:snapToGrid w:val="0"/>
          <w:kern w:val="0"/>
        </w:rPr>
        <w:t>（投标文件格式4）</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（8）报价表（投标文件格式6）</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hint="eastAsia"/>
          <w:snapToGrid w:val="0"/>
          <w:kern w:val="0"/>
        </w:rPr>
        <w:t>服务方案</w:t>
      </w:r>
      <w:r>
        <w:rPr>
          <w:rFonts w:hint="eastAsia" w:asciiTheme="minorEastAsia" w:hAnsiTheme="minorEastAsia" w:eastAsiaTheme="minorEastAsia"/>
          <w:snapToGrid w:val="0"/>
          <w:kern w:val="0"/>
        </w:rPr>
        <w:t>（投标文件格式7）</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r>
        <w:rPr>
          <w:rFonts w:asciiTheme="minorEastAsia" w:hAnsiTheme="minorEastAsia" w:eastAsiaTheme="minorEastAsia"/>
          <w:snapToGrid w:val="0"/>
          <w:kern w:val="0"/>
        </w:rPr>
        <w:t>投标人情况介绍</w:t>
      </w:r>
      <w:r>
        <w:rPr>
          <w:rFonts w:hint="eastAsia" w:asciiTheme="minorEastAsia" w:hAnsiTheme="minorEastAsia" w:eastAsiaTheme="minorEastAsia"/>
          <w:snapToGrid w:val="0"/>
          <w:kern w:val="0"/>
        </w:rPr>
        <w:t xml:space="preserve"> （投标文件格式8）</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（11）偏离表（投标文件格式9）</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（12）招标文件要求的其他资料或投标人认为需要补充的资料（投标文件格式10）</w:t>
      </w:r>
    </w:p>
    <w:p>
      <w:pPr>
        <w:adjustRightInd w:val="0"/>
        <w:spacing w:line="360" w:lineRule="auto"/>
        <w:ind w:left="848" w:leftChars="99" w:hanging="640" w:hangingChars="305"/>
        <w:rPr>
          <w:rFonts w:asciiTheme="minorEastAsia" w:hAnsiTheme="minorEastAsia" w:eastAsiaTheme="minorEastAsia"/>
          <w:snapToGrid w:val="0"/>
          <w:kern w:val="0"/>
        </w:rPr>
      </w:pPr>
      <w:r>
        <w:rPr>
          <w:rFonts w:hint="eastAsia" w:asciiTheme="minorEastAsia" w:hAnsiTheme="minorEastAsia" w:eastAsiaTheme="minorEastAsia"/>
          <w:snapToGrid w:val="0"/>
          <w:kern w:val="0"/>
        </w:rPr>
        <w:t>（13）装有“法定代表人（负责人）证明书、法定代表人（负责人）授权委托书”和“开标一览表”单独密封的信封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（14）装有</w:t>
      </w:r>
      <w:r>
        <w:rPr>
          <w:rFonts w:hint="eastAsia" w:asciiTheme="minorEastAsia" w:hAnsiTheme="minorEastAsia" w:eastAsiaTheme="minorEastAsia"/>
        </w:rPr>
        <w:t>电子</w:t>
      </w:r>
      <w:r>
        <w:rPr>
          <w:rFonts w:asciiTheme="minorEastAsia" w:hAnsiTheme="minorEastAsia" w:eastAsiaTheme="minorEastAsia"/>
        </w:rPr>
        <w:t>备份光盘（或U盘）</w:t>
      </w:r>
      <w:r>
        <w:rPr>
          <w:rFonts w:hint="eastAsia" w:asciiTheme="minorEastAsia" w:hAnsiTheme="minorEastAsia" w:eastAsiaTheme="minorEastAsia"/>
        </w:rPr>
        <w:t>（内容为投标文件正本盖章扫描件）</w:t>
      </w:r>
      <w:r>
        <w:rPr>
          <w:rFonts w:hint="eastAsia" w:asciiTheme="minorEastAsia" w:hAnsiTheme="minorEastAsia" w:eastAsiaTheme="minorEastAsia"/>
          <w:snapToGrid w:val="0"/>
          <w:kern w:val="0"/>
        </w:rPr>
        <w:t>单独密封的信封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11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投标文件格式</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投标文件必须毫无遗漏地包括本须知第10条规定的内容，投标人提交的投标文件必须毫无例外地使用招标文件所提供投标文件格式（表格可以按同样格式扩展）。</w:t>
      </w:r>
      <w:r>
        <w:rPr>
          <w:rFonts w:hint="eastAsia" w:asciiTheme="minorEastAsia" w:hAnsiTheme="minorEastAsia" w:eastAsiaTheme="minorEastAsia"/>
        </w:rPr>
        <w:t>如没有相应格式的，由投标人根据招标要求自行编制。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12.1</w:t>
      </w:r>
      <w:r>
        <w:rPr>
          <w:rFonts w:hint="eastAsia" w:asciiTheme="minorEastAsia" w:hAnsiTheme="minorEastAsia" w:eastAsiaTheme="minorEastAsia"/>
          <w:snapToGrid w:val="0"/>
          <w:kern w:val="0"/>
        </w:rPr>
        <w:t xml:space="preserve">  投标报价应以人民币为结算单位。</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投标人应分别在招标文件所附的“开标一览表”（投标文件格式5）和“报价表”（投标文件格式6）上写明</w:t>
      </w:r>
      <w:r>
        <w:rPr>
          <w:rFonts w:hint="eastAsia"/>
          <w:snapToGrid w:val="0"/>
          <w:kern w:val="0"/>
        </w:rPr>
        <w:t>投标单价和投标总价</w:t>
      </w:r>
      <w:r>
        <w:rPr>
          <w:rFonts w:hint="eastAsia" w:asciiTheme="minorEastAsia" w:hAnsiTheme="minorEastAsia" w:eastAsiaTheme="minorEastAsia"/>
          <w:snapToGrid w:val="0"/>
          <w:kern w:val="0"/>
        </w:rPr>
        <w:t>。投标人对每种项目只允许有一个报价，采购代理机构不接受有任何选择的报价。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12.3  </w:t>
      </w:r>
      <w:r>
        <w:rPr>
          <w:rFonts w:hint="eastAsia" w:asciiTheme="minorEastAsia" w:hAnsiTheme="minorEastAsia" w:eastAsiaTheme="minorEastAsia"/>
          <w:snapToGrid w:val="0"/>
          <w:kern w:val="0"/>
        </w:rPr>
        <w:t>此报价作为评标委员会评标标准，但不能限制</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以其它方式签订合同的权力。</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投标人资格的证明文件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投标人必须提交证明其有资格进行投标，和中标后有能力履行合同的证明文件（投标文件格式1与格式8），作为投标文件的一部分。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投标有效期</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投标文件的有效期按前附表第8项规定。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特殊情况下，</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可于投标有效期期满之前，要求投标人同意延长投标有效期。投标人可以拒绝或同意上述要求，但要求与答复均须是书面文件。对于同意该要求的投标人，</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既不要求也不允许其修改投标文件。</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15. </w:t>
      </w:r>
      <w:r>
        <w:rPr>
          <w:rFonts w:hint="eastAsia" w:asciiTheme="minorEastAsia" w:hAnsiTheme="minorEastAsia" w:eastAsiaTheme="minorEastAsia"/>
          <w:b/>
          <w:snapToGrid w:val="0"/>
          <w:kern w:val="0"/>
        </w:rPr>
        <w:t>投标保证金</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snapToGrid w:val="0"/>
          <w:kern w:val="0"/>
        </w:rPr>
        <w:t>以下有关投标保证金的条款仅适用于需要缴纳投标保证金的项目。是否需要缴纳投标保证金以《投标人须知前附表》中的规定或说明为准。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15.2 </w:t>
      </w:r>
      <w:r>
        <w:rPr>
          <w:rFonts w:hint="eastAsia" w:asciiTheme="minorEastAsia" w:hAnsiTheme="minorEastAsia" w:eastAsiaTheme="minorEastAsia"/>
          <w:snapToGrid w:val="0"/>
          <w:kern w:val="0"/>
        </w:rPr>
        <w:t xml:space="preserve"> 投标人应向</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提交一笔不少于前附表第9项所规定的投标保证金。投标保证金为投标文件的组成部分之一。</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15.3</w:t>
      </w:r>
      <w:r>
        <w:rPr>
          <w:rFonts w:hint="eastAsia" w:asciiTheme="minorEastAsia" w:hAnsiTheme="minorEastAsia" w:eastAsiaTheme="minorEastAsia"/>
          <w:snapToGrid w:val="0"/>
          <w:kern w:val="0"/>
        </w:rPr>
        <w:t xml:space="preserve">  投标保证金用于保护本次招标免受投标人的行为而引起的风险。</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投标保证金应以支票、银行转账或招标机构能够接受的其它非现金形式提交。（注：投标保证金必须从投标供应商基本账户转出，否则属于隐瞒真实情况，提供虚假资料。）</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15.5  </w:t>
      </w:r>
      <w:r>
        <w:rPr>
          <w:rFonts w:hint="eastAsia" w:asciiTheme="minorEastAsia" w:hAnsiTheme="minorEastAsia" w:eastAsiaTheme="minorEastAsia"/>
          <w:snapToGrid w:val="0"/>
          <w:kern w:val="0"/>
        </w:rPr>
        <w:t>未按规定提交投标保证金的投标，将被视为无效投标。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15.6 </w:t>
      </w:r>
      <w:r>
        <w:rPr>
          <w:rFonts w:hint="eastAsia" w:asciiTheme="minorEastAsia" w:hAnsiTheme="minorEastAsia" w:eastAsiaTheme="minorEastAsia"/>
          <w:snapToGrid w:val="0"/>
          <w:kern w:val="0"/>
        </w:rPr>
        <w:t xml:space="preserve"> 未中标的投标人的投标保证金，采购代理机构将在中标通知书发出且收到投标人的《投标保证金退还申请表》后5个工作日内退还。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15.7 </w:t>
      </w:r>
      <w:r>
        <w:rPr>
          <w:rFonts w:hint="eastAsia" w:asciiTheme="minorEastAsia" w:hAnsiTheme="minorEastAsia" w:eastAsiaTheme="minorEastAsia"/>
          <w:snapToGrid w:val="0"/>
          <w:kern w:val="0"/>
        </w:rPr>
        <w:t xml:space="preserve"> 中标方的投标保证金，采购代理机构将在中标方签订合同并支付中标服务费后5个工作日内退还。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15.</w:t>
      </w:r>
      <w:r>
        <w:rPr>
          <w:rFonts w:asciiTheme="minorEastAsia" w:hAnsiTheme="minorEastAsia" w:eastAsiaTheme="minorEastAsia"/>
          <w:snapToGrid w:val="0"/>
          <w:kern w:val="0"/>
        </w:rPr>
        <w:t>8</w:t>
      </w:r>
      <w:r>
        <w:rPr>
          <w:rFonts w:hint="eastAsia" w:asciiTheme="minorEastAsia" w:hAnsiTheme="minorEastAsia" w:eastAsiaTheme="minorEastAsia"/>
          <w:snapToGrid w:val="0"/>
          <w:kern w:val="0"/>
        </w:rPr>
        <w:t xml:space="preserve">  发生以下情况投标保证金将被没收：</w:t>
      </w:r>
    </w:p>
    <w:p>
      <w:pPr>
        <w:adjustRightInd w:val="0"/>
        <w:spacing w:line="360" w:lineRule="auto"/>
        <w:ind w:left="630" w:hanging="630" w:hanging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已递交了投标保证金的投标人放弃投标，而没有在投标保证金递交截止时间前书面通知采购代理机构的；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开标后投标人在投标有效期内撤回投标；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 投标人串通投标或者以其他弄虚作假方式投标；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 如果中标方未能做到：</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按本须知第31条规定签订合同；或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按本须知第32条规定提供履约保证金；或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按本须知第33条规定缴纳中标服务费。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 法律法规规定的其它情况。</w:t>
      </w:r>
    </w:p>
    <w:p>
      <w:pPr>
        <w:tabs>
          <w:tab w:val="left" w:pos="330"/>
        </w:tabs>
        <w:spacing w:line="360" w:lineRule="auto"/>
        <w:rPr>
          <w:rFonts w:asciiTheme="minorEastAsia" w:hAnsiTheme="minorEastAsia" w:eastAsiaTheme="minorEastAsia"/>
          <w:b/>
        </w:rPr>
      </w:pPr>
      <w:r>
        <w:rPr>
          <w:rFonts w:hint="eastAsia" w:asciiTheme="minorEastAsia" w:hAnsiTheme="minorEastAsia" w:eastAsiaTheme="minorEastAsia"/>
          <w:b/>
        </w:rPr>
        <w:t>16. 投标预备会（</w:t>
      </w:r>
      <w:r>
        <w:rPr>
          <w:rFonts w:hint="eastAsia" w:asciiTheme="minorEastAsia" w:hAnsiTheme="minorEastAsia" w:eastAsiaTheme="minorEastAsia"/>
          <w:b/>
          <w:snapToGrid w:val="0"/>
          <w:kern w:val="0"/>
        </w:rPr>
        <w:t>答疑会）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16.1  投标预备会（答疑会），如</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认为有必要召开投标预备会，投标人应按照前附表第10项规定的或</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另行书面通知的时间（招标文件提供期限截止后）和地点，派出代表出席</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主持的投标预备会。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16.2  投标预备会的目的是澄清、解答投标人在查阅招标文件后和现场踏勘中可能提出的任何方面的问题。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16.3  投标人提出的与投标有关的任何</w:t>
      </w:r>
      <w:r>
        <w:rPr>
          <w:rFonts w:hint="eastAsia" w:cs="宋体" w:asciiTheme="minorEastAsia" w:hAnsiTheme="minorEastAsia" w:eastAsiaTheme="minorEastAsia"/>
          <w:bCs/>
          <w:snapToGrid w:val="0"/>
          <w:kern w:val="0"/>
        </w:rPr>
        <w:t>招标</w:t>
      </w:r>
      <w:r>
        <w:rPr>
          <w:rFonts w:hint="eastAsia" w:asciiTheme="minorEastAsia" w:hAnsiTheme="minorEastAsia" w:eastAsiaTheme="minorEastAsia"/>
          <w:snapToGrid w:val="0"/>
          <w:kern w:val="0"/>
        </w:rPr>
        <w:t>问题须以书面形式给</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。在投标预备会上，</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将做出澄清和解答。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16.4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2、8</w:t>
      </w:r>
      <w:r>
        <w:rPr>
          <w:rFonts w:asciiTheme="minorEastAsia" w:hAnsiTheme="minorEastAsia" w:eastAsiaTheme="minorEastAsia"/>
          <w:snapToGrid w:val="0"/>
          <w:kern w:val="0"/>
        </w:rPr>
        <w:t>.4</w:t>
      </w:r>
      <w:r>
        <w:rPr>
          <w:rFonts w:hint="eastAsia" w:asciiTheme="minorEastAsia" w:hAnsiTheme="minorEastAsia" w:eastAsiaTheme="minorEastAsia"/>
          <w:snapToGrid w:val="0"/>
          <w:kern w:val="0"/>
        </w:rPr>
        <w:t>款规定执行。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16.5  未出席投标预备会不作为否定投标人资格的理由。</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17. </w:t>
      </w:r>
      <w:r>
        <w:rPr>
          <w:rFonts w:hint="eastAsia" w:asciiTheme="minorEastAsia" w:hAnsiTheme="minorEastAsia" w:eastAsiaTheme="minorEastAsia"/>
          <w:b/>
          <w:snapToGrid w:val="0"/>
          <w:kern w:val="0"/>
        </w:rPr>
        <w:t>投标文件的份数和签署</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17.1  </w:t>
      </w:r>
      <w:r>
        <w:rPr>
          <w:rFonts w:hint="eastAsia" w:asciiTheme="minorEastAsia" w:hAnsiTheme="minorEastAsia" w:eastAsiaTheme="minorEastAsia"/>
          <w:snapToGrid w:val="0"/>
          <w:kern w:val="0"/>
        </w:rPr>
        <w:t xml:space="preserve">投标文件数量按前附表第11项所述。 </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17.2  </w:t>
      </w:r>
      <w:r>
        <w:rPr>
          <w:rFonts w:hint="eastAsia" w:asciiTheme="minorEastAsia" w:hAnsiTheme="minorEastAsia" w:eastAsiaTheme="minorEastAsia"/>
          <w:snapToGrid w:val="0"/>
          <w:kern w:val="0"/>
        </w:rPr>
        <w:t>为了便于投标文件保存，需提交一份投标文件备份光盘（或U盘，内容为投标文件正本盖章扫描件）。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投标文件正本及开标一览表须打印，并经法定代表人或其授权代表签字和盖章，投标文件的副本可采用正本复印件。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除投标人对错处做必要修改外，投标文件中不许有加行、涂抹或改写，如有修改遗漏处，必须由投标人法定代表人或其授权代表签字和盖章。</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电报、电话、传真形式的投标概不接受。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17.6  投标文件必须标注页码并装订成册。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17.7  投标文件不符合上述规定的，为无效投标。</w:t>
      </w:r>
    </w:p>
    <w:p>
      <w:pPr>
        <w:adjustRightInd w:val="0"/>
        <w:spacing w:line="360" w:lineRule="auto"/>
        <w:rPr>
          <w:rFonts w:asciiTheme="minorEastAsia" w:hAnsiTheme="minorEastAsia" w:eastAsiaTheme="minorEastAsia"/>
          <w:snapToGrid w:val="0"/>
          <w:kern w:val="0"/>
        </w:rPr>
      </w:pPr>
    </w:p>
    <w:p>
      <w:pPr>
        <w:pStyle w:val="4"/>
        <w:spacing w:before="0" w:after="0"/>
      </w:pPr>
      <w:bookmarkStart w:id="24" w:name="q7"/>
      <w:bookmarkEnd w:id="24"/>
      <w:bookmarkStart w:id="25" w:name="_Toc135293173"/>
      <w:r>
        <w:rPr>
          <w:rFonts w:hint="eastAsia"/>
        </w:rPr>
        <w:t>四、投标文件的递交</w:t>
      </w:r>
      <w:bookmarkEnd w:id="25"/>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投标文件的密封和标记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18.1 须在每一份投标文件封面上明确注明“正本”或“副本”字样。一旦正本和副本有差异，以正本为准。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18.2  </w:t>
      </w:r>
      <w:r>
        <w:rPr>
          <w:rFonts w:hint="eastAsia"/>
          <w:snapToGrid w:val="0"/>
          <w:kern w:val="0"/>
        </w:rPr>
        <w:t>投标人应将投标文件备份文件光盘密封于一信封，</w:t>
      </w:r>
      <w:r>
        <w:rPr>
          <w:rFonts w:hint="eastAsia" w:asciiTheme="minorEastAsia" w:hAnsiTheme="minorEastAsia" w:eastAsiaTheme="minorEastAsia"/>
          <w:snapToGrid w:val="0"/>
          <w:kern w:val="0"/>
        </w:rPr>
        <w:t>在信封上注明“备份光盘（或U盘）”。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18.3  将投标文件“正本”、“副本”和密封好的“备份光盘（或U盘）”一</w:t>
      </w:r>
      <w:r>
        <w:rPr>
          <w:rFonts w:hint="eastAsia"/>
          <w:snapToGrid w:val="0"/>
          <w:kern w:val="0"/>
        </w:rPr>
        <w:t>起封装在同一个外层包封中，同时还应在封套上载明以下信息</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注明：“投标文件正本、副本和备份光盘（或U盘）”；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投标人应将“法定代表人（负责人）证明书、法定代表人（负责人）授权委托书”和“开标一览表”单独密封于一信封，在递交投标文件时单独交予</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，在信封上应：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注明：“开标一览表”和“法定代表人（负责人）证明书、法定代表人（负责人）授权委托书”；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18.6  如果投标文件没有按本投标须知第18.1款、第18.2款、第18.3款和第18.4款规定进行标记和密封，采购代理机构将拒收或者告知投标人，采购代理机构将不承担投标文件错放或提前开封的责任。对由此造成的提前开封的投标文件将予以拒绝，并退还给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18.7  所有投标文件的密封袋的封口处应加盖投标人印章。</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18.8  投标人应按18.1～18.7中的规定进行密封和标记后，将投标文件按照前附表第12项中注明的地址送至采购代理机构。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18.9  投标人按招标文件要求如需提供实物，应随投标文件一起递交。</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递交投标文件的时间、地点以及截止时间</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递交投标文件的地点与开标仪式的地点相同。</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所有投标文件都必须按</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在前附表第</w:t>
      </w:r>
      <w:bookmarkStart w:id="26" w:name="_Hlt35050056"/>
      <w:bookmarkEnd w:id="26"/>
      <w:r>
        <w:rPr>
          <w:rFonts w:hint="eastAsia" w:asciiTheme="minorEastAsia" w:hAnsiTheme="minorEastAsia" w:eastAsiaTheme="minorEastAsia"/>
          <w:snapToGrid w:val="0"/>
          <w:kern w:val="0"/>
        </w:rPr>
        <w:t>13项中规定的投标截止时间之前送至</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出现第8</w:t>
      </w:r>
      <w:r>
        <w:rPr>
          <w:rFonts w:asciiTheme="minorEastAsia" w:hAnsiTheme="minorEastAsia" w:eastAsiaTheme="minorEastAsia"/>
          <w:snapToGrid w:val="0"/>
          <w:kern w:val="0"/>
        </w:rPr>
        <w:t>.3</w:t>
      </w:r>
      <w:r>
        <w:rPr>
          <w:rFonts w:hint="eastAsia" w:asciiTheme="minorEastAsia" w:hAnsiTheme="minorEastAsia" w:eastAsiaTheme="minorEastAsia"/>
          <w:snapToGrid w:val="0"/>
          <w:kern w:val="0"/>
        </w:rPr>
        <w:t>款因招标文件修改或其他原因推迟投标截止时，则按</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修改通知规定的时间递交。</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在投标截止时间前30分钟开始接收投标文件。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迟交的投标文件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20</w:t>
      </w:r>
      <w:r>
        <w:rPr>
          <w:rFonts w:asciiTheme="minorEastAsia" w:hAnsiTheme="minorEastAsia" w:eastAsiaTheme="minorEastAsia"/>
          <w:snapToGrid w:val="0"/>
          <w:kern w:val="0"/>
        </w:rPr>
        <w:t xml:space="preserve">.1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将拒绝接收在投标截止时间后递交的投标文件。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21. 投标文件的修改和撤销</w:t>
      </w:r>
    </w:p>
    <w:p>
      <w:pPr>
        <w:tabs>
          <w:tab w:val="left" w:pos="0"/>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21.1  投标人在提交投标文件后可对其投标文件进行修改或撤销，但</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须在投标截止时间之前收到该修改或撤销的书面通知，该通知须有经正式授权的投标人代表签字。</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21.2</w:t>
      </w:r>
      <w:r>
        <w:rPr>
          <w:rFonts w:hint="eastAsia" w:asciiTheme="minorEastAsia" w:hAnsiTheme="minorEastAsia" w:eastAsiaTheme="minorEastAsia"/>
          <w:snapToGrid w:val="0"/>
          <w:kern w:val="0"/>
        </w:rPr>
        <w:t xml:space="preserve">  投标人对投标文件修改的书面材料或撤销的通知应按本须知第17条和第18条规定进行编写、密封、标注和递交，并注明“修改投标文件”或“撤销投标”字样。</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21.3</w:t>
      </w:r>
      <w:r>
        <w:rPr>
          <w:rFonts w:hint="eastAsia" w:asciiTheme="minorEastAsia" w:hAnsiTheme="minorEastAsia" w:eastAsiaTheme="minorEastAsia"/>
          <w:snapToGrid w:val="0"/>
          <w:kern w:val="0"/>
        </w:rPr>
        <w:t xml:space="preserve">  投标截止时间以后不得修改投标文件。</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21.4</w:t>
      </w:r>
      <w:r>
        <w:rPr>
          <w:rFonts w:hint="eastAsia" w:asciiTheme="minorEastAsia" w:hAnsiTheme="minorEastAsia" w:eastAsiaTheme="minorEastAsia"/>
          <w:snapToGrid w:val="0"/>
          <w:kern w:val="0"/>
        </w:rPr>
        <w:t xml:space="preserve">  投标人不得在开标时间起到投标文件有效期满前撤销投标文件。</w:t>
      </w:r>
    </w:p>
    <w:p>
      <w:pPr>
        <w:tabs>
          <w:tab w:val="left" w:pos="0"/>
        </w:tabs>
        <w:adjustRightInd w:val="0"/>
        <w:spacing w:line="360" w:lineRule="auto"/>
        <w:rPr>
          <w:rFonts w:asciiTheme="minorEastAsia" w:hAnsiTheme="minorEastAsia" w:eastAsiaTheme="minorEastAsia"/>
          <w:snapToGrid w:val="0"/>
          <w:kern w:val="0"/>
        </w:rPr>
      </w:pPr>
    </w:p>
    <w:p>
      <w:pPr>
        <w:pStyle w:val="4"/>
        <w:spacing w:before="0" w:after="0"/>
      </w:pPr>
      <w:bookmarkStart w:id="27" w:name="q8"/>
      <w:bookmarkEnd w:id="27"/>
      <w:bookmarkStart w:id="28" w:name="_Toc135293174"/>
      <w:r>
        <w:rPr>
          <w:rFonts w:hint="eastAsia"/>
        </w:rPr>
        <w:t>五、开标和评标</w:t>
      </w:r>
      <w:bookmarkEnd w:id="28"/>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开标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22.1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在前附表第12项规定的时间和地点公开开标。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  开标时，</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将检查投标文件的密封情况，在确认无误后拆封唱标。唱标主要内容为下面几点并做好唱标记录。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 xml:space="preserve"> 投标文件中“开标一览表”的内容。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 xml:space="preserve">2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认为合适的其他内容。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22.2.3  投标人未参加开标的，视同认可开标结果。投标人不足3家的，不得开标。</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评标委员会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.1</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将根据招标采购货物的特点组建评标委员会，其成员由</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代表</w:t>
      </w:r>
      <w:r>
        <w:rPr>
          <w:rFonts w:hint="eastAsia" w:cs="宋体" w:asciiTheme="minorEastAsia" w:hAnsiTheme="minorEastAsia" w:eastAsiaTheme="minorEastAsia"/>
          <w:bCs/>
          <w:snapToGrid w:val="0"/>
          <w:kern w:val="0"/>
        </w:rPr>
        <w:t>和有关技术、经济等方面的</w:t>
      </w:r>
      <w:r>
        <w:rPr>
          <w:rFonts w:hint="eastAsia" w:asciiTheme="minorEastAsia" w:hAnsiTheme="minorEastAsia" w:eastAsiaTheme="minorEastAsia"/>
          <w:snapToGrid w:val="0"/>
          <w:kern w:val="0"/>
        </w:rPr>
        <w:t>专家组成。评标委员会对投标文件进行审查、评估和比较。</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23</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评标期间，投标人应由法定代表人或其授权代表参加询标。</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24. </w:t>
      </w:r>
      <w:r>
        <w:rPr>
          <w:rFonts w:hint="eastAsia" w:asciiTheme="minorEastAsia" w:hAnsiTheme="minorEastAsia" w:eastAsiaTheme="minorEastAsia"/>
          <w:b/>
          <w:snapToGrid w:val="0"/>
          <w:kern w:val="0"/>
        </w:rPr>
        <w:t>对投标文件的审查和响应性的确定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24.1  招标机构就投标文件中的资格证明等内容对投标供应商进行资格性审查，审查不合格的，认定其投标无效。合格投标人不足3家的，不得评标。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24.2  评标委员会将审查投标文件是否完整、总体编排是否有序、文件签署是否合格、有无计算上的错误等。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24.3  算术错误将按以下方法更正（次序排先者优先）：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（1）开标一览表内容与投标文件中相应内容不一致的，以开标一览表为准；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（2）</w:t>
      </w:r>
      <w:r>
        <w:rPr>
          <w:rFonts w:hint="eastAsia" w:asciiTheme="minorEastAsia" w:hAnsiTheme="minorEastAsia" w:eastAsiaTheme="minorEastAsia"/>
          <w:szCs w:val="21"/>
        </w:rPr>
        <w:t>大写金额和小写金额不一致的，以大写金额为准；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（3）</w:t>
      </w:r>
      <w:r>
        <w:rPr>
          <w:rFonts w:hint="eastAsia" w:asciiTheme="minorEastAsia" w:hAnsiTheme="minorEastAsia" w:eastAsiaTheme="minorEastAsia"/>
          <w:szCs w:val="21"/>
        </w:rPr>
        <w:t>单价金额小数点或者百分比有明显错位的，以开标一览表的总价为准，并修改单价；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zCs w:val="21"/>
        </w:rPr>
        <w:t>总价金额与按单价汇总金额不一致的，以单价金额计算结果为准。</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zCs w:val="21"/>
        </w:rPr>
        <w:t>同时出现两种以上不一致的，按照前款规定的顺序修正。修正后的报价按照本须知25.2条的规定，经投标人确认后产生约束力，投标人不确认的，其投标无效</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24.4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24.5  评标委员会判断投标文件的响应性，仅基于招标文件和投标文件本身而不靠外部证据。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24.6  评标委员会将拒绝被确定为非实质性响应的投标人。投标人不能通过修正或撤销不符之处，而使其投标成为实质性响应的投标。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24.7  评标委员会允许修改投标中不构成重大偏离的、微小的、非正规、不一致或不规则的地方。</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 xml:space="preserve">24.8  </w:t>
      </w:r>
      <w:r>
        <w:rPr>
          <w:rFonts w:hint="eastAsia" w:asciiTheme="minorEastAsia" w:hAnsiTheme="minorEastAsia" w:eastAsiaTheme="minorEastAsia"/>
          <w:szCs w:val="21"/>
        </w:rPr>
        <w:t>根据《中华人民共和国财政部令第</w:t>
      </w:r>
      <w:r>
        <w:rPr>
          <w:rFonts w:asciiTheme="minorEastAsia" w:hAnsiTheme="minorEastAsia" w:eastAsiaTheme="minorEastAsia"/>
          <w:szCs w:val="21"/>
        </w:rPr>
        <w:t>87</w:t>
      </w:r>
      <w:r>
        <w:rPr>
          <w:rFonts w:hint="eastAsia" w:asciiTheme="minorEastAsia" w:hAnsiTheme="minorEastAsia" w:eastAsiaTheme="minorEastAsia"/>
          <w:szCs w:val="21"/>
        </w:rPr>
        <w:t>号</w:t>
      </w:r>
      <w:r>
        <w:rPr>
          <w:rFonts w:asciiTheme="minorEastAsia" w:hAnsiTheme="minorEastAsia" w:eastAsiaTheme="minorEastAsia"/>
          <w:szCs w:val="21"/>
        </w:rPr>
        <w:t>-</w:t>
      </w:r>
      <w:r>
        <w:rPr>
          <w:rFonts w:hint="eastAsia" w:asciiTheme="minorEastAsia" w:hAnsiTheme="minorEastAsia" w:eastAsiaTheme="minor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60" w:lineRule="auto"/>
        <w:rPr>
          <w:snapToGrid w:val="0"/>
          <w:kern w:val="0"/>
        </w:rPr>
      </w:pPr>
      <w:r>
        <w:rPr>
          <w:rFonts w:hint="eastAsia" w:asciiTheme="minorEastAsia" w:hAnsiTheme="minorEastAsia" w:eastAsiaTheme="minorEastAsia"/>
          <w:snapToGrid w:val="0"/>
          <w:kern w:val="0"/>
        </w:rPr>
        <w:t xml:space="preserve">24.9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24.10 经</w:t>
      </w:r>
      <w:r>
        <w:rPr>
          <w:rFonts w:hint="eastAsia"/>
          <w:snapToGrid w:val="0"/>
          <w:kern w:val="0"/>
        </w:rPr>
        <w:t>评标委员会审查，</w:t>
      </w:r>
      <w:r>
        <w:rPr>
          <w:rFonts w:hint="eastAsia" w:ascii="宋体" w:hAnsi="宋体" w:cs="仿宋_GB2312"/>
          <w:kern w:val="0"/>
          <w:szCs w:val="21"/>
        </w:rPr>
        <w:t>有效投标的供应商不足三家的，按公开招标失败处理。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投标文件的澄清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25.1  对于投标文件中含义不明确、同类问题表述不一致或者有明显文字和计算错误的内容，评标委员会应当以书面形式要求投标人作出必要的澄清、说明或者补正。</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26. </w:t>
      </w:r>
      <w:r>
        <w:rPr>
          <w:rFonts w:hint="eastAsia" w:asciiTheme="minorEastAsia" w:hAnsiTheme="minorEastAsia" w:eastAsiaTheme="minorEastAsia"/>
          <w:b/>
          <w:snapToGrid w:val="0"/>
          <w:kern w:val="0"/>
        </w:rPr>
        <w:t>评标方法和详细评审</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26.1 评标委员会将按照本须知第24条规定只对确定为实质上响应的投标文件进行评价和比较。</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26.2 </w:t>
      </w:r>
      <w:r>
        <w:rPr>
          <w:rFonts w:hint="eastAsia" w:asciiTheme="minorEastAsia" w:hAnsiTheme="minorEastAsia" w:eastAsiaTheme="minorEastAsia"/>
          <w:snapToGrid w:val="0"/>
          <w:kern w:val="0"/>
        </w:rPr>
        <w:t>评标的基础应是本须知第</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2条规定的投标报价。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26.3评标委员会按 “第四章 评标方法和标准”所述进行详细评审，并推荐候选中标供应商。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27. </w:t>
      </w:r>
      <w:r>
        <w:rPr>
          <w:rFonts w:hint="eastAsia" w:asciiTheme="minorEastAsia" w:hAnsiTheme="minorEastAsia" w:eastAsiaTheme="minorEastAsia"/>
          <w:b/>
          <w:snapToGrid w:val="0"/>
          <w:kern w:val="0"/>
        </w:rPr>
        <w:t>评标报告</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 xml:space="preserve">    </w:t>
      </w:r>
      <w:r>
        <w:rPr>
          <w:rFonts w:hint="eastAsia" w:asciiTheme="minorEastAsia" w:hAnsiTheme="minorEastAsia" w:eastAsiaTheme="minor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保密及其它注意事项</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评标是招标工作的重要环节，评标工作在评委会内独立进行。评委会将遵照评标原则，公正、平等地对待所有投标人。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在开标、投标期间，投标人不得向评委询问评标情况，不得进行旨在影响评标结果的活动。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为保证定标的公正性，在评标过程中，评委不得与投标人私下交换意见。在招标工作结束后，凡与评标情况有接触的任何人，不得也不应将评标情况扩散出评委人员之外。</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.5</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评委会不向落标方解释落标原因，不退还投标文件。</w:t>
      </w:r>
    </w:p>
    <w:p>
      <w:pPr>
        <w:adjustRightInd w:val="0"/>
        <w:spacing w:line="360" w:lineRule="auto"/>
        <w:ind w:left="357"/>
        <w:jc w:val="center"/>
        <w:rPr>
          <w:rFonts w:asciiTheme="minorEastAsia" w:hAnsiTheme="minorEastAsia" w:eastAsiaTheme="minorEastAsia"/>
          <w:b/>
          <w:snapToGrid w:val="0"/>
          <w:kern w:val="0"/>
        </w:rPr>
      </w:pPr>
      <w:bookmarkStart w:id="29" w:name="q9"/>
      <w:bookmarkEnd w:id="29"/>
    </w:p>
    <w:p>
      <w:pPr>
        <w:pStyle w:val="4"/>
        <w:spacing w:before="0" w:after="0"/>
      </w:pPr>
      <w:bookmarkStart w:id="30" w:name="_Toc135293175"/>
      <w:r>
        <w:rPr>
          <w:rFonts w:hint="eastAsia"/>
        </w:rPr>
        <w:t>六、授予合同</w:t>
      </w:r>
      <w:bookmarkEnd w:id="30"/>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9．合同授予标准</w:t>
      </w:r>
    </w:p>
    <w:p>
      <w:pPr>
        <w:tabs>
          <w:tab w:val="left" w:pos="5688"/>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    本项目采购合同授予经采购人确定的中标人。</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中标通知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30.1  招标机构在发出《中标通知书》之前，将中标结果通过政府采购指定网站进行公示。中标结果公示期满无异议或者异议不成立的，招标机构将发出《中标通知书》。《中标通知书》一经发出即发生法律效力。</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 xml:space="preserve"> 《中标通知书》将作为签订合同的重要依据。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30.3  中标方向采购代理机构支付中标服务费后，领取《中标通知书》。</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授予合同时变更数量的权力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w:t>
      </w:r>
      <w:r>
        <w:rPr>
          <w:rFonts w:asciiTheme="minorEastAsia" w:hAnsiTheme="minorEastAsia" w:eastAsiaTheme="minorEastAsia"/>
          <w:snapToGrid w:val="0"/>
          <w:kern w:val="0"/>
        </w:rPr>
        <w:t xml:space="preserve">.1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在签订合同时，有权对招标文件中列明的货物或服务的数量，在法定范围内，依法定程序予以增加或减少。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中标方应按《中标通知书》或按</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指定的时间、地点与</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招标文件、中标方的投标文件及其澄清文件等，均为签订合同的依据。</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33</w:t>
      </w:r>
      <w:r>
        <w:rPr>
          <w:rFonts w:asciiTheme="minorEastAsia" w:hAnsiTheme="minorEastAsia" w:eastAsiaTheme="minorEastAsia"/>
          <w:b/>
          <w:snapToGrid w:val="0"/>
          <w:kern w:val="0"/>
        </w:rPr>
        <w:t>.</w:t>
      </w:r>
      <w:r>
        <w:rPr>
          <w:rFonts w:hint="eastAsia" w:asciiTheme="minorEastAsia" w:hAnsiTheme="minorEastAsia" w:eastAsiaTheme="minorEastAsia"/>
          <w:b/>
          <w:snapToGrid w:val="0"/>
          <w:kern w:val="0"/>
        </w:rPr>
        <w:t xml:space="preserve">  履约保证金</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33</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中标方须按招标文件的规定或根据合同条款的规定向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提交前附表第15项规定的履约保证金。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中标服务费按前附表第16项所述。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中标服务费金额按下列方法计算：</w:t>
      </w:r>
    </w:p>
    <w:tbl>
      <w:tblPr>
        <w:tblStyle w:val="50"/>
        <w:tblW w:w="93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6"/>
        <w:gridCol w:w="2056"/>
        <w:gridCol w:w="2056"/>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3166" w:type="dxa"/>
          </w:tcPr>
          <w:p>
            <w:pPr>
              <w:ind w:firstLine="1219" w:firstLineChars="578"/>
              <w:rPr>
                <w:rFonts w:ascii="宋体" w:hAnsi="宋体"/>
                <w:b/>
                <w:szCs w:val="21"/>
              </w:rPr>
            </w:pPr>
            <w:r>
              <w:rPr>
                <w:rFonts w:ascii="宋体" w:hAnsi="宋体"/>
                <w:b/>
                <w:szCs w:val="21"/>
              </w:rPr>
              <w:pict>
                <v:line id="直线 6" o:spid="_x0000_s1051" o:spt="20" style="position:absolute;left:0pt;flip:x y;margin-left:48.8pt;margin-top:0.9pt;height:57.65pt;width:114.3pt;z-index:251665408;mso-width-relative:page;mso-height-relative:page;" coordsize="21600,21600" o:allowincell="f" o:gfxdata="UEsDBAoAAAAAAIdO4kAAAAAAAAAAAAAAAAAEAAAAZHJzL1BLAwQUAAAACACHTuJAho4KQdAAAAAI&#10;AQAADwAAAGRycy9kb3ducmV2LnhtbE1PS07DMBDdI3EHa5DYUTuVSKIQp4tKPUALqli68RBHtcdp&#10;7Dbl9gwrWL6P3qfd3IMXN5zTGElDsVIgkPpoRxo0fLzvXmoQKRuyxkdCDd+YYNM9PrSmsXGhPd4O&#10;eRAcQqkxGlzOUyNl6h0Gk1ZxQmLtK87BZIbzIO1sFg4PXq6VKmUwI3GDMxNuHfbnwzVo8LWqL8dt&#10;tXzuLbfsjt5RVWj9/FSoNxAZ7/nPDL/zeTp0vOkUr2ST8BqqsmQn83yA5XVZ87UT49eqAtm18v+B&#10;7gdQSwMEFAAAAAgAh07iQCuupHzcAQAApgMAAA4AAABkcnMvZTJvRG9jLnhtbK1TS44TMRDdI3EH&#10;y3vSSVCiSSudWRAGFghGGmBf8afbkn+yPenkLFyDFRuOM9egyglhGDYI0Qur7Hp+rveqen19cJbt&#10;Vcom+I7PJlPOlBdBGt93/NPHmxdXnOUCXoINXnX8qDK/3jx/th5jq+ZhCFaqxJDE53aMHR9KiW3T&#10;ZDEoB3kSovKY1CE5KLhNfSMTjMjubDOfTpfNGJKMKQiVM55uT0m+qfxaK1E+aJ1VYbbjWFupa6rr&#10;jtZms4a2TxAHI85lwD9U4cB4fPRCtYUC7D6ZP6icESnkoMtEBNcErY1QVQOqmU2fqLkbIKqqBc3J&#10;8WJT/n+04v3+NjEjOz7nzIPDFj18+frw7TtbkjdjzC1C7uJtOu8yhiT0oJNj2pr4FtvOa/SZIsqh&#10;LHaoHh8vHqtDYQIPZ/PZ4uUKWyEwt7parZYLeqg5MdLtmHJ5o4JjFHTcGk8eQAv7d7mcoD8hdGw9&#10;G5FpMV8gJ+AIaQsFQxdRVPZ9vZuDNfLGWEs3cup3r2xie6ChqN+5hN9g9MgW8nDC1RTBoB0UyNde&#10;snKMaJfHueZUglOSM6vwN6CoIgsY+zdIVG89mkB2nwymaBfkEZtzH5PpB3RiVqukDA5Dtew8uDRt&#10;j/eV6dfvtfk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ho4KQdAAAAAIAQAADwAAAAAAAAABACAA&#10;AAAiAAAAZHJzL2Rvd25yZXYueG1sUEsBAhQAFAAAAAgAh07iQCuupHzcAQAApgMAAA4AAAAAAAAA&#10;AQAgAAAAHwEAAGRycy9lMm9Eb2MueG1sUEsFBgAAAAAGAAYAWQEAAG0FAAAAAA==&#10;">
                  <v:path arrowok="t"/>
                  <v:fill focussize="0,0"/>
                  <v:stroke/>
                  <v:imagedata o:title=""/>
                  <o:lock v:ext="edit"/>
                </v:line>
              </w:pict>
            </w:r>
            <w:r>
              <w:rPr>
                <w:rFonts w:ascii="宋体" w:hAnsi="宋体"/>
                <w:b/>
                <w:szCs w:val="21"/>
              </w:rPr>
              <w:pict>
                <v:line id="直线 7" o:spid="_x0000_s1052" o:spt="20" style="position:absolute;left:0pt;flip:x y;margin-left:7.1pt;margin-top:25.35pt;height:33.2pt;width:156pt;z-index:251666432;mso-width-relative:page;mso-height-relative:page;" coordsize="21600,21600" o:allowincell="f" o:gfxdata="UEsDBAoAAAAAAIdO4kAAAAAAAAAAAAAAAAAEAAAAZHJzL1BLAwQUAAAACACHTuJAuBVQptQAAAAK&#10;AQAADwAAAGRycy9kb3ducmV2LnhtbE2PTW7CMBCF95V6B2sqdQe2kcBRGocFEgeAVqhLE7txhD0O&#10;sSH09p2u2uW8+fR+mu0jBnZ3Ux4SapBLAcxhl+yAvYaP9/2iApaLQWtCQqfh22XYts9PjaltmvHg&#10;7sfSMzLBXBsNvpSx5jx33kWTl2l0SL+vNEVT6Jx6biczk3kMfCXEhkczICV4M7qdd93leIsaQiWq&#10;62mn5s+DpZT9KXhUUuvXFynegBX3KH8w/Nan6tBSp3O6oc0saFhISVuKhrVQwAhYbSoSzkSulQLe&#10;Nvz/hPYHUEsDBBQAAAAIAIdO4kClKU/S3AEAAKYDAAAOAAAAZHJzL2Uyb0RvYy54bWytU0uOEzEQ&#10;3SNxB8t70kkgCdNKZxaEgQWCkQbYV/zptuSfXJ50chauwYoNx5lrUHZC+G0QohfWs+v5ddWr8vr6&#10;4Czbq4Qm+I7PJlPOlBdBGt93/MP7myfPOcMMXoINXnX8qJBfbx4/Wo+xVfMwBCtVYiTisR1jx4ec&#10;Y9s0KAblACchKk9BHZKDTNvUNzLBSOrONvPpdNmMIcmYglCIdLo9Bfmm6mutRH6nNarMbMcpt1zX&#10;VNddWZvNGto+QRyMOKcB/5CFA+PppxepLWRg98n8IeWMSAGDzhMRXBO0NkLVGqia2fS3au4GiKrW&#10;QuZgvNiE/09WvN3fJmZkx59y5sFRix4+fX748pWtijdjxJYod/E2nXdIsBR60MkxbU18TW3nFX0s&#10;qMSoLHaoHh8vHqtDZoIOZ6vVbLmgVgiKLVdXzwiTdHNSLLdjwvxKBccK6Lg1vngALezfYD5Rv1PK&#10;sfVs7PjVYr4gTaAR0hYyQRepKPR9vYvBGnljrC03MPW7FzaxPZShqN85hV9o5SdbwOHEq6FCg3ZQ&#10;IF96yfIxkl2e5pqXFJySnFlFz6Cgysxg7N8wqXrryYRi98nggnZBHqk59zGZfiAnZjXLEqFhqJad&#10;B7dM28/7qvTjeW2+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LgVUKbUAAAACgEAAA8AAAAAAAAA&#10;AQAgAAAAIgAAAGRycy9kb3ducmV2LnhtbFBLAQIUABQAAAAIAIdO4kClKU/S3AEAAKYDAAAOAAAA&#10;AAAAAAEAIAAAACMBAABkcnMvZTJvRG9jLnhtbFBLBQYAAAAABgAGAFkBAABxBQAAAAA=&#10;">
                  <v:path arrowok="t"/>
                  <v:fill focussize="0,0"/>
                  <v:stroke/>
                  <v:imagedata o:title=""/>
                  <o:lock v:ext="edit"/>
                </v:line>
              </w:pict>
            </w:r>
            <w:r>
              <w:rPr>
                <w:rFonts w:ascii="宋体" w:hAnsi="宋体"/>
                <w:b/>
                <w:szCs w:val="21"/>
              </w:rPr>
              <w:pict>
                <v:line id="直线 5" o:spid="_x0000_s1050" o:spt="20" style="position:absolute;left:0pt;margin-left:-9pt;margin-top:-0.5pt;height:0pt;width:0.05pt;z-index:251664384;mso-width-relative:page;mso-height-relative:page;" coordsize="21600,21600" o:allowincell="f" o:gfxdata="UEsDBAoAAAAAAIdO4kAAAAAAAAAAAAAAAAAEAAAAZHJzL1BLAwQUAAAACACHTuJAG0d729IAAAAJ&#10;AQAADwAAAGRycy9kb3ducmV2LnhtbE1PTU/DMAy9I/EfIiNxmbakQ0JTabrDoDcuDBBXrzFttcbp&#10;muwDfj2edmAn289P76NYnnyvDjTGLrCFbGZAEdfBddxY+HivpgtQMSE77AOThR+KsCxvbwrMXTjy&#10;Gx3WqVEiwjFHC21KQ651rFvyGGdhIJbfdxg9JjnHRrsRjyLuez035lF77FgcWhxo1VK9Xe+9hVh9&#10;0q76ndQT8/XQBJrvnl9f0Nr7u8w8gUp0Sv9kOMeX6FBKpk3Ys4uqtzDNFtIlnReZQrgAmwugy0Jf&#10;Nyj/AFBLAwQUAAAACACHTuJA+gVHDMUBAACHAwAADgAAAGRycy9lMm9Eb2MueG1srVNLbhsxDN0X&#10;yB0E7eOxDbhoBx5nUTfZBG2AtAeg9ZkRoB9ExWOfpdfoqpseJ9copXGcfjZFEC9kiqQeHx8566uD&#10;s2yvEprgO76YzTlTXgRpfN/xr1+uL99xhhm8BBu86vhRIb/aXLxZj7FVyzAEK1ViBOKxHWPHh5xj&#10;2zQoBuUAZyEqT0EdkoNM19Q3MsFI6M42y/n8bTOGJGMKQiGSdzsF+abia61E/qw1qsxsx4lbrmeq&#10;566czWYNbZ8gDkacaMALWDgwnoqeobaQgT0k8w+UMyIFDDrPRHBN0NoIVXugbhbzv7q5HyCq2guJ&#10;g/EsE74erPi0v0vMSJodZx4cjejx2/fHHz/ZqmgzRmwp5T7epdMNySyNHnRy5Z9aYIeq5/Gspzpk&#10;JianePI2z09iwnyjgmPF6Lg1vjQJLexvMVMZSn1KKW7r2djx96vlijMBtCPaQibTRWKNvq9vMVgj&#10;r4215QWmfvfBJraHMvX6K80Q7h9ppcgWcJjyamjah0GB/Ogly8dIenhaXF4oOCU5s4r2vFgECG0G&#10;Y/8nk0pbTwyKnpOCxdoFeST1H2Iy/UBKLCrLEqFpV76nzSzr9Pu9Ij1/P5t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G0d729IAAAAJAQAADwAAAAAAAAABACAAAAAiAAAAZHJzL2Rvd25yZXYueG1s&#10;UEsBAhQAFAAAAAgAh07iQPoFRwzFAQAAhwMAAA4AAAAAAAAAAQAgAAAAIQEAAGRycy9lMm9Eb2Mu&#10;eG1sUEsFBgAAAAAGAAYAWQEAAFgFAAAAAA==&#10;">
                  <v:path arrowok="t"/>
                  <v:fill focussize="0,0"/>
                  <v:stroke/>
                  <v:imagedata o:title=""/>
                  <o:lock v:ext="edit"/>
                </v:line>
              </w:pict>
            </w:r>
            <w:r>
              <w:rPr>
                <w:rFonts w:hint="eastAsia" w:ascii="宋体" w:hAnsi="宋体"/>
                <w:b/>
                <w:szCs w:val="21"/>
              </w:rPr>
              <w:t xml:space="preserve">    服务类型</w:t>
            </w:r>
          </w:p>
          <w:p>
            <w:pPr>
              <w:ind w:firstLine="392" w:firstLineChars="186"/>
              <w:rPr>
                <w:rFonts w:ascii="宋体" w:hAnsi="宋体"/>
                <w:b/>
                <w:szCs w:val="21"/>
              </w:rPr>
            </w:pPr>
            <w:r>
              <w:rPr>
                <w:rFonts w:hint="eastAsia" w:ascii="宋体" w:hAnsi="宋体"/>
                <w:b/>
                <w:szCs w:val="21"/>
              </w:rPr>
              <w:t>费率　　　　　</w:t>
            </w:r>
          </w:p>
          <w:p>
            <w:pPr>
              <w:ind w:firstLine="1054"/>
              <w:rPr>
                <w:rFonts w:ascii="宋体" w:hAnsi="宋体"/>
                <w:b/>
                <w:szCs w:val="21"/>
              </w:rPr>
            </w:pPr>
            <w:r>
              <w:rPr>
                <w:rFonts w:hint="eastAsia" w:ascii="宋体" w:hAnsi="宋体"/>
                <w:b/>
                <w:szCs w:val="21"/>
              </w:rPr>
              <w:t>　　　</w:t>
            </w:r>
          </w:p>
          <w:p>
            <w:pPr>
              <w:rPr>
                <w:rFonts w:ascii="宋体" w:hAnsi="宋体"/>
                <w:b/>
                <w:szCs w:val="21"/>
              </w:rPr>
            </w:pPr>
            <w:r>
              <w:rPr>
                <w:rFonts w:hint="eastAsia" w:ascii="宋体" w:hAnsi="宋体"/>
                <w:b/>
                <w:szCs w:val="21"/>
              </w:rPr>
              <w:t>中标金额</w:t>
            </w:r>
          </w:p>
        </w:tc>
        <w:tc>
          <w:tcPr>
            <w:tcW w:w="2056" w:type="dxa"/>
            <w:vAlign w:val="center"/>
          </w:tcPr>
          <w:p>
            <w:pPr>
              <w:jc w:val="center"/>
              <w:rPr>
                <w:rFonts w:ascii="宋体" w:hAnsi="宋体"/>
                <w:b/>
                <w:szCs w:val="21"/>
              </w:rPr>
            </w:pPr>
            <w:r>
              <w:rPr>
                <w:rFonts w:hint="eastAsia" w:ascii="宋体" w:hAnsi="宋体"/>
                <w:b/>
                <w:szCs w:val="21"/>
              </w:rPr>
              <w:t>货物采购</w:t>
            </w:r>
          </w:p>
        </w:tc>
        <w:tc>
          <w:tcPr>
            <w:tcW w:w="2056" w:type="dxa"/>
            <w:vAlign w:val="center"/>
          </w:tcPr>
          <w:p>
            <w:pPr>
              <w:jc w:val="center"/>
              <w:rPr>
                <w:rFonts w:ascii="宋体" w:hAnsi="宋体"/>
                <w:b/>
                <w:szCs w:val="21"/>
              </w:rPr>
            </w:pPr>
            <w:r>
              <w:rPr>
                <w:rFonts w:hint="eastAsia" w:ascii="宋体" w:hAnsi="宋体"/>
                <w:b/>
                <w:szCs w:val="21"/>
              </w:rPr>
              <w:t>服务采购</w:t>
            </w:r>
          </w:p>
        </w:tc>
        <w:tc>
          <w:tcPr>
            <w:tcW w:w="2057" w:type="dxa"/>
            <w:vAlign w:val="center"/>
          </w:tcPr>
          <w:p>
            <w:pPr>
              <w:jc w:val="center"/>
              <w:rPr>
                <w:rFonts w:ascii="宋体" w:hAnsi="宋体"/>
                <w:b/>
                <w:szCs w:val="21"/>
              </w:rPr>
            </w:pPr>
            <w:r>
              <w:rPr>
                <w:rFonts w:hint="eastAsia" w:ascii="宋体" w:hAnsi="宋体"/>
                <w:b/>
                <w:szCs w:val="21"/>
              </w:rPr>
              <w:t>工程采购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100万元以下</w:t>
            </w:r>
          </w:p>
        </w:tc>
        <w:tc>
          <w:tcPr>
            <w:tcW w:w="2056" w:type="dxa"/>
            <w:vAlign w:val="center"/>
          </w:tcPr>
          <w:p>
            <w:pPr>
              <w:widowControl/>
              <w:jc w:val="center"/>
              <w:rPr>
                <w:rFonts w:ascii="宋体" w:hAnsi="宋体"/>
                <w:kern w:val="0"/>
                <w:szCs w:val="21"/>
              </w:rPr>
            </w:pPr>
            <w:r>
              <w:rPr>
                <w:rFonts w:hint="eastAsia" w:ascii="宋体" w:hAnsi="宋体"/>
                <w:kern w:val="0"/>
                <w:szCs w:val="21"/>
              </w:rPr>
              <w:t>1.500%</w:t>
            </w:r>
          </w:p>
        </w:tc>
        <w:tc>
          <w:tcPr>
            <w:tcW w:w="2056" w:type="dxa"/>
            <w:vAlign w:val="center"/>
          </w:tcPr>
          <w:p>
            <w:pPr>
              <w:widowControl/>
              <w:jc w:val="center"/>
              <w:rPr>
                <w:rFonts w:ascii="宋体" w:hAnsi="宋体"/>
                <w:kern w:val="0"/>
                <w:szCs w:val="21"/>
              </w:rPr>
            </w:pPr>
            <w:r>
              <w:rPr>
                <w:rFonts w:hint="eastAsia" w:ascii="宋体" w:hAnsi="宋体"/>
                <w:kern w:val="0"/>
                <w:szCs w:val="21"/>
              </w:rPr>
              <w:t>1.500%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100万元（含）-500万元</w:t>
            </w:r>
          </w:p>
        </w:tc>
        <w:tc>
          <w:tcPr>
            <w:tcW w:w="2056" w:type="dxa"/>
            <w:vAlign w:val="center"/>
          </w:tcPr>
          <w:p>
            <w:pPr>
              <w:widowControl/>
              <w:jc w:val="center"/>
              <w:rPr>
                <w:rFonts w:ascii="宋体" w:hAnsi="宋体"/>
                <w:kern w:val="0"/>
                <w:szCs w:val="21"/>
              </w:rPr>
            </w:pPr>
            <w:r>
              <w:rPr>
                <w:rFonts w:hint="eastAsia" w:ascii="宋体" w:hAnsi="宋体"/>
                <w:kern w:val="0"/>
                <w:szCs w:val="21"/>
              </w:rPr>
              <w:t>1.100%</w:t>
            </w:r>
          </w:p>
        </w:tc>
        <w:tc>
          <w:tcPr>
            <w:tcW w:w="2056" w:type="dxa"/>
            <w:vAlign w:val="center"/>
          </w:tcPr>
          <w:p>
            <w:pPr>
              <w:widowControl/>
              <w:jc w:val="center"/>
              <w:rPr>
                <w:rFonts w:ascii="宋体" w:hAnsi="宋体"/>
                <w:kern w:val="0"/>
                <w:szCs w:val="21"/>
              </w:rPr>
            </w:pPr>
            <w:r>
              <w:rPr>
                <w:rFonts w:hint="eastAsia" w:ascii="宋体" w:hAnsi="宋体"/>
                <w:kern w:val="0"/>
                <w:szCs w:val="21"/>
              </w:rPr>
              <w:t>0.800%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500万元（含）-1000万元</w:t>
            </w:r>
          </w:p>
        </w:tc>
        <w:tc>
          <w:tcPr>
            <w:tcW w:w="2056" w:type="dxa"/>
            <w:vAlign w:val="center"/>
          </w:tcPr>
          <w:p>
            <w:pPr>
              <w:widowControl/>
              <w:jc w:val="center"/>
              <w:rPr>
                <w:rFonts w:ascii="宋体" w:hAnsi="宋体"/>
                <w:kern w:val="0"/>
                <w:szCs w:val="21"/>
              </w:rPr>
            </w:pPr>
            <w:r>
              <w:rPr>
                <w:rFonts w:hint="eastAsia" w:ascii="宋体" w:hAnsi="宋体"/>
                <w:kern w:val="0"/>
                <w:szCs w:val="21"/>
              </w:rPr>
              <w:t>0.800%</w:t>
            </w:r>
          </w:p>
        </w:tc>
        <w:tc>
          <w:tcPr>
            <w:tcW w:w="2056" w:type="dxa"/>
            <w:vAlign w:val="center"/>
          </w:tcPr>
          <w:p>
            <w:pPr>
              <w:widowControl/>
              <w:jc w:val="center"/>
              <w:rPr>
                <w:rFonts w:ascii="宋体" w:hAnsi="宋体"/>
                <w:kern w:val="0"/>
                <w:szCs w:val="21"/>
              </w:rPr>
            </w:pPr>
            <w:r>
              <w:rPr>
                <w:rFonts w:hint="eastAsia" w:ascii="宋体" w:hAnsi="宋体"/>
                <w:kern w:val="0"/>
                <w:szCs w:val="21"/>
              </w:rPr>
              <w:t>0.450%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1000万元（含）-5000万元</w:t>
            </w:r>
          </w:p>
        </w:tc>
        <w:tc>
          <w:tcPr>
            <w:tcW w:w="2056" w:type="dxa"/>
            <w:vAlign w:val="center"/>
          </w:tcPr>
          <w:p>
            <w:pPr>
              <w:widowControl/>
              <w:jc w:val="center"/>
              <w:rPr>
                <w:rFonts w:ascii="宋体" w:hAnsi="宋体"/>
                <w:kern w:val="0"/>
                <w:szCs w:val="21"/>
              </w:rPr>
            </w:pPr>
            <w:r>
              <w:rPr>
                <w:rFonts w:hint="eastAsia" w:ascii="宋体" w:hAnsi="宋体"/>
                <w:kern w:val="0"/>
                <w:szCs w:val="21"/>
              </w:rPr>
              <w:t>0.500%</w:t>
            </w:r>
          </w:p>
        </w:tc>
        <w:tc>
          <w:tcPr>
            <w:tcW w:w="2056" w:type="dxa"/>
            <w:vAlign w:val="center"/>
          </w:tcPr>
          <w:p>
            <w:pPr>
              <w:widowControl/>
              <w:jc w:val="center"/>
              <w:rPr>
                <w:rFonts w:ascii="宋体" w:hAnsi="宋体"/>
                <w:kern w:val="0"/>
                <w:szCs w:val="21"/>
              </w:rPr>
            </w:pPr>
            <w:r>
              <w:rPr>
                <w:rFonts w:hint="eastAsia" w:ascii="宋体" w:hAnsi="宋体"/>
                <w:kern w:val="0"/>
                <w:szCs w:val="21"/>
              </w:rPr>
              <w:t>0.250%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5000万元（含）-1亿元</w:t>
            </w:r>
          </w:p>
        </w:tc>
        <w:tc>
          <w:tcPr>
            <w:tcW w:w="2056" w:type="dxa"/>
            <w:vAlign w:val="center"/>
          </w:tcPr>
          <w:p>
            <w:pPr>
              <w:widowControl/>
              <w:jc w:val="center"/>
              <w:rPr>
                <w:rFonts w:ascii="宋体" w:hAnsi="宋体"/>
                <w:kern w:val="0"/>
                <w:szCs w:val="21"/>
              </w:rPr>
            </w:pPr>
            <w:r>
              <w:rPr>
                <w:rFonts w:hint="eastAsia" w:ascii="宋体" w:hAnsi="宋体"/>
                <w:kern w:val="0"/>
                <w:szCs w:val="21"/>
              </w:rPr>
              <w:t>0.250%</w:t>
            </w:r>
          </w:p>
        </w:tc>
        <w:tc>
          <w:tcPr>
            <w:tcW w:w="2056" w:type="dxa"/>
            <w:vAlign w:val="center"/>
          </w:tcPr>
          <w:p>
            <w:pPr>
              <w:widowControl/>
              <w:jc w:val="center"/>
              <w:rPr>
                <w:rFonts w:ascii="宋体" w:hAnsi="宋体"/>
                <w:kern w:val="0"/>
                <w:szCs w:val="21"/>
              </w:rPr>
            </w:pPr>
            <w:r>
              <w:rPr>
                <w:rFonts w:hint="eastAsia" w:ascii="宋体" w:hAnsi="宋体"/>
                <w:kern w:val="0"/>
                <w:szCs w:val="21"/>
              </w:rPr>
              <w:t>0.100%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1亿元（含）-5亿元</w:t>
            </w:r>
          </w:p>
        </w:tc>
        <w:tc>
          <w:tcPr>
            <w:tcW w:w="2056" w:type="dxa"/>
            <w:vAlign w:val="center"/>
          </w:tcPr>
          <w:p>
            <w:pPr>
              <w:widowControl/>
              <w:jc w:val="center"/>
              <w:rPr>
                <w:rFonts w:ascii="宋体" w:hAnsi="宋体"/>
                <w:kern w:val="0"/>
                <w:szCs w:val="21"/>
              </w:rPr>
            </w:pPr>
            <w:r>
              <w:rPr>
                <w:rFonts w:hint="eastAsia" w:ascii="宋体" w:hAnsi="宋体"/>
                <w:kern w:val="0"/>
                <w:szCs w:val="21"/>
              </w:rPr>
              <w:t>0.050%</w:t>
            </w:r>
          </w:p>
        </w:tc>
        <w:tc>
          <w:tcPr>
            <w:tcW w:w="2056" w:type="dxa"/>
            <w:vAlign w:val="center"/>
          </w:tcPr>
          <w:p>
            <w:pPr>
              <w:widowControl/>
              <w:jc w:val="center"/>
              <w:rPr>
                <w:rFonts w:ascii="宋体" w:hAnsi="宋体"/>
                <w:kern w:val="0"/>
                <w:szCs w:val="21"/>
              </w:rPr>
            </w:pPr>
            <w:r>
              <w:rPr>
                <w:rFonts w:hint="eastAsia" w:ascii="宋体" w:hAnsi="宋体"/>
                <w:kern w:val="0"/>
                <w:szCs w:val="21"/>
              </w:rPr>
              <w:t>0.050%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5亿元（含）-10亿元</w:t>
            </w:r>
          </w:p>
        </w:tc>
        <w:tc>
          <w:tcPr>
            <w:tcW w:w="2056" w:type="dxa"/>
            <w:vAlign w:val="center"/>
          </w:tcPr>
          <w:p>
            <w:pPr>
              <w:widowControl/>
              <w:jc w:val="center"/>
              <w:rPr>
                <w:rFonts w:ascii="宋体" w:hAnsi="宋体"/>
                <w:kern w:val="0"/>
                <w:szCs w:val="21"/>
              </w:rPr>
            </w:pPr>
            <w:r>
              <w:rPr>
                <w:rFonts w:hint="eastAsia" w:ascii="宋体" w:hAnsi="宋体"/>
                <w:kern w:val="0"/>
                <w:szCs w:val="21"/>
              </w:rPr>
              <w:t>0.035%</w:t>
            </w:r>
          </w:p>
        </w:tc>
        <w:tc>
          <w:tcPr>
            <w:tcW w:w="2056" w:type="dxa"/>
            <w:vAlign w:val="center"/>
          </w:tcPr>
          <w:p>
            <w:pPr>
              <w:widowControl/>
              <w:jc w:val="center"/>
              <w:rPr>
                <w:rFonts w:ascii="宋体" w:hAnsi="宋体"/>
                <w:kern w:val="0"/>
                <w:szCs w:val="21"/>
              </w:rPr>
            </w:pPr>
            <w:r>
              <w:rPr>
                <w:rFonts w:hint="eastAsia" w:ascii="宋体" w:hAnsi="宋体"/>
                <w:kern w:val="0"/>
                <w:szCs w:val="21"/>
              </w:rPr>
              <w:t>0.035%</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10亿元（含）-50亿元</w:t>
            </w:r>
          </w:p>
        </w:tc>
        <w:tc>
          <w:tcPr>
            <w:tcW w:w="2056" w:type="dxa"/>
            <w:vAlign w:val="center"/>
          </w:tcPr>
          <w:p>
            <w:pPr>
              <w:widowControl/>
              <w:jc w:val="center"/>
              <w:rPr>
                <w:rFonts w:ascii="宋体" w:hAnsi="宋体"/>
                <w:kern w:val="0"/>
                <w:szCs w:val="21"/>
              </w:rPr>
            </w:pPr>
            <w:r>
              <w:rPr>
                <w:rFonts w:hint="eastAsia" w:ascii="宋体" w:hAnsi="宋体"/>
                <w:kern w:val="0"/>
                <w:szCs w:val="21"/>
              </w:rPr>
              <w:t>0.008%</w:t>
            </w:r>
          </w:p>
        </w:tc>
        <w:tc>
          <w:tcPr>
            <w:tcW w:w="2056" w:type="dxa"/>
            <w:vAlign w:val="center"/>
          </w:tcPr>
          <w:p>
            <w:pPr>
              <w:widowControl/>
              <w:jc w:val="center"/>
              <w:rPr>
                <w:rFonts w:ascii="宋体" w:hAnsi="宋体"/>
                <w:kern w:val="0"/>
                <w:szCs w:val="21"/>
              </w:rPr>
            </w:pPr>
            <w:r>
              <w:rPr>
                <w:rFonts w:hint="eastAsia" w:ascii="宋体" w:hAnsi="宋体"/>
                <w:kern w:val="0"/>
                <w:szCs w:val="21"/>
              </w:rPr>
              <w:t>0.008%</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50亿元（含）-100亿元</w:t>
            </w:r>
          </w:p>
        </w:tc>
        <w:tc>
          <w:tcPr>
            <w:tcW w:w="2056" w:type="dxa"/>
            <w:vAlign w:val="center"/>
          </w:tcPr>
          <w:p>
            <w:pPr>
              <w:widowControl/>
              <w:jc w:val="center"/>
              <w:rPr>
                <w:rFonts w:ascii="宋体" w:hAnsi="宋体"/>
                <w:kern w:val="0"/>
                <w:szCs w:val="21"/>
              </w:rPr>
            </w:pPr>
            <w:r>
              <w:rPr>
                <w:rFonts w:hint="eastAsia" w:ascii="宋体" w:hAnsi="宋体"/>
                <w:kern w:val="0"/>
                <w:szCs w:val="21"/>
              </w:rPr>
              <w:t>0.006%</w:t>
            </w:r>
          </w:p>
        </w:tc>
        <w:tc>
          <w:tcPr>
            <w:tcW w:w="2056" w:type="dxa"/>
            <w:vAlign w:val="center"/>
          </w:tcPr>
          <w:p>
            <w:pPr>
              <w:widowControl/>
              <w:jc w:val="center"/>
              <w:rPr>
                <w:rFonts w:ascii="宋体" w:hAnsi="宋体"/>
                <w:kern w:val="0"/>
                <w:szCs w:val="21"/>
              </w:rPr>
            </w:pPr>
            <w:r>
              <w:rPr>
                <w:rFonts w:hint="eastAsia" w:ascii="宋体" w:hAnsi="宋体"/>
                <w:kern w:val="0"/>
                <w:szCs w:val="21"/>
              </w:rPr>
              <w:t>0.006%</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100亿元（含）以上</w:t>
            </w:r>
          </w:p>
        </w:tc>
        <w:tc>
          <w:tcPr>
            <w:tcW w:w="2056" w:type="dxa"/>
            <w:vAlign w:val="center"/>
          </w:tcPr>
          <w:p>
            <w:pPr>
              <w:widowControl/>
              <w:jc w:val="center"/>
              <w:rPr>
                <w:rFonts w:ascii="宋体" w:hAnsi="宋体"/>
                <w:kern w:val="0"/>
                <w:szCs w:val="21"/>
              </w:rPr>
            </w:pPr>
            <w:r>
              <w:rPr>
                <w:rFonts w:hint="eastAsia" w:ascii="宋体" w:hAnsi="宋体"/>
                <w:kern w:val="0"/>
                <w:szCs w:val="21"/>
              </w:rPr>
              <w:t>0.004%</w:t>
            </w:r>
          </w:p>
        </w:tc>
        <w:tc>
          <w:tcPr>
            <w:tcW w:w="2056" w:type="dxa"/>
            <w:vAlign w:val="center"/>
          </w:tcPr>
          <w:p>
            <w:pPr>
              <w:widowControl/>
              <w:jc w:val="center"/>
              <w:rPr>
                <w:rFonts w:ascii="宋体" w:hAnsi="宋体"/>
                <w:kern w:val="0"/>
                <w:szCs w:val="21"/>
              </w:rPr>
            </w:pPr>
            <w:r>
              <w:rPr>
                <w:rFonts w:hint="eastAsia" w:ascii="宋体" w:hAnsi="宋体"/>
                <w:kern w:val="0"/>
                <w:szCs w:val="21"/>
              </w:rPr>
              <w:t>0.004%</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0.004%</w:t>
            </w:r>
          </w:p>
        </w:tc>
      </w:tr>
    </w:tbl>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注：1、中标服务费按差额定率累进法计算。例如：某服务类项目中标金额为1000万元，计算中标服务费如下：</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100万元×1.5%=1.5万元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（500-100）万元×0.8%=3.2万元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（1000-500）×0.45%=2.25万元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合计收费=1.5+3.2+2.25＝6.95（万元）</w:t>
      </w:r>
    </w:p>
    <w:p>
      <w:pPr>
        <w:spacing w:line="360" w:lineRule="auto"/>
        <w:ind w:firstLine="1044" w:firstLineChars="200"/>
        <w:rPr>
          <w:b/>
          <w:sz w:val="52"/>
          <w:szCs w:val="52"/>
        </w:rPr>
      </w:pPr>
    </w:p>
    <w:p>
      <w:pPr>
        <w:pStyle w:val="4"/>
        <w:spacing w:before="0" w:after="0"/>
      </w:pPr>
      <w:bookmarkStart w:id="31" w:name="_Toc135293176"/>
      <w:r>
        <w:rPr>
          <w:rFonts w:hint="eastAsia"/>
        </w:rPr>
        <w:t>七、质疑处理</w:t>
      </w:r>
      <w:bookmarkEnd w:id="31"/>
    </w:p>
    <w:p>
      <w:pPr>
        <w:spacing w:line="360" w:lineRule="auto"/>
        <w:rPr>
          <w:rFonts w:asciiTheme="majorEastAsia" w:hAnsiTheme="majorEastAsia" w:eastAsiaTheme="majorEastAsia"/>
          <w:b/>
          <w:bCs/>
          <w:szCs w:val="21"/>
        </w:rPr>
      </w:pPr>
      <w:bookmarkStart w:id="32" w:name="_Hlk72439706"/>
      <w:r>
        <w:rPr>
          <w:rFonts w:hint="eastAsia" w:asciiTheme="majorEastAsia" w:hAnsiTheme="majorEastAsia" w:eastAsiaTheme="majorEastAsia"/>
          <w:b/>
          <w:bCs/>
          <w:szCs w:val="21"/>
        </w:rPr>
        <w:t>35.质疑提出与答复</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szCs w:val="21"/>
        </w:rPr>
        <w:t>35.1提出质疑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参与政府采购活动的供应商认为自己的权益在采购活动中受到损害的，应当自知道或者应当知道其权益受到损害之日起七个工作日内向采购人、采购代理机构以书面形式提出质疑。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35.2</w:t>
      </w:r>
      <w:r>
        <w:rPr>
          <w:rFonts w:asciiTheme="majorEastAsia" w:hAnsiTheme="majorEastAsia" w:eastAsiaTheme="majorEastAsia"/>
          <w:szCs w:val="21"/>
        </w:rPr>
        <w:t>法律依据</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《中华人民共和国政府采购法》、《中华人民共和国政府采购法实施条例》、</w:t>
      </w:r>
      <w:r>
        <w:rPr>
          <w:rFonts w:asciiTheme="majorEastAsia" w:hAnsiTheme="majorEastAsia" w:eastAsiaTheme="majorEastAsia"/>
          <w:szCs w:val="21"/>
        </w:rPr>
        <w:t>《</w:t>
      </w:r>
      <w:r>
        <w:rPr>
          <w:rFonts w:hint="eastAsia" w:asciiTheme="majorEastAsia" w:hAnsiTheme="majorEastAsia" w:eastAsiaTheme="majorEastAsia"/>
          <w:szCs w:val="21"/>
        </w:rPr>
        <w:t>深圳经济特区政府采购</w:t>
      </w:r>
      <w:r>
        <w:rPr>
          <w:rFonts w:asciiTheme="majorEastAsia" w:hAnsiTheme="majorEastAsia" w:eastAsiaTheme="majorEastAsia"/>
          <w:szCs w:val="21"/>
        </w:rPr>
        <w:t>条例</w:t>
      </w:r>
      <w:r>
        <w:rPr>
          <w:rFonts w:hint="eastAsia" w:asciiTheme="majorEastAsia" w:hAnsiTheme="majorEastAsia" w:eastAsiaTheme="majorEastAsia"/>
          <w:szCs w:val="21"/>
        </w:rPr>
        <w:t>》、《深圳经济特区政府采购条例实施细则》、《政府采购质疑和投诉办法》（财政部令第94号）和其他有关法律法规规定。</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35.3质疑条件</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35.3.1提出质疑的供应商应当是参与所质疑项目采购活动的供应商；</w:t>
      </w:r>
      <w:bookmarkStart w:id="33" w:name="_Hlk75374941"/>
      <w:r>
        <w:rPr>
          <w:rFonts w:hint="eastAsia" w:asciiTheme="majorEastAsia" w:hAnsiTheme="majorEastAsia" w:eastAsiaTheme="majorEastAsia"/>
          <w:szCs w:val="21"/>
        </w:rPr>
        <w:t>以联合体形式参与的，质疑应当由组成联合体的所有成员共同提出</w:t>
      </w:r>
      <w:bookmarkEnd w:id="33"/>
      <w:r>
        <w:rPr>
          <w:rFonts w:hint="eastAsia" w:asciiTheme="majorEastAsia" w:hAnsiTheme="majorEastAsia" w:eastAsiaTheme="majorEastAsia"/>
          <w:szCs w:val="21"/>
        </w:rPr>
        <w:t>；</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35.3.2应当在法定质疑期内一次性提出针对同一采购程序环节的质疑，法定质疑期为自知道或应当知道权益受到损害之日起7个工作日内。应当知道其权益受到损害之日是指：对招标文件的质疑，为招标文件公布之日；对采购过程的质疑，为各采购程序环节结束之日；对中标结果以及评审委员会组成人员的质疑，为中标结果公示之日；</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35.3.3应提交书面质疑函，质疑函应当包括以下内容：</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（1）供应商的名称（或者姓名）、地址、邮编、联系人及联系电话；</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（2）质疑项目的名称、编号；</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（3）具体、明确的质疑对象、质疑事项和质疑请求；</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（4）因质疑事项而受损害的权益；</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（5）事实依据；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（6）必要的法律依据；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（7）提出质疑的日期。</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供应商为自然人的，应当由本人签字；供应商为法人或者其他组织的，应当由法定代表人（负责人），或者其授权代理人签字或者盖章，并加盖公章。</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35.4提交</w:t>
      </w:r>
      <w:r>
        <w:rPr>
          <w:rFonts w:asciiTheme="majorEastAsia" w:hAnsiTheme="majorEastAsia" w:eastAsiaTheme="majorEastAsia"/>
          <w:szCs w:val="21"/>
        </w:rPr>
        <w:t>材料</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供应商质疑实行实名制。供应商为自然人的，应当提交本人身份证复印件；供应商为法人或者其他组织的，应当根据自身性质提交营业执照复印件或者其他证明文件（如事业单位法人证书等）复印件。</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供应商可以委托代理人进行质疑。</w:t>
      </w:r>
      <w:r>
        <w:rPr>
          <w:rFonts w:asciiTheme="majorEastAsia" w:hAnsiTheme="majorEastAsia" w:eastAsiaTheme="majorEastAsia"/>
          <w:szCs w:val="21"/>
        </w:rPr>
        <w:t>其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35.5提交方式</w:t>
      </w:r>
    </w:p>
    <w:p>
      <w:pPr>
        <w:spacing w:line="360" w:lineRule="auto"/>
        <w:ind w:firstLine="420"/>
        <w:rPr>
          <w:rFonts w:asciiTheme="majorEastAsia" w:hAnsiTheme="majorEastAsia" w:eastAsiaTheme="majorEastAsia"/>
          <w:b/>
          <w:bCs/>
          <w:szCs w:val="21"/>
        </w:rPr>
      </w:pPr>
      <w:r>
        <w:rPr>
          <w:rFonts w:hint="eastAsia" w:asciiTheme="majorEastAsia" w:hAnsiTheme="majorEastAsia" w:eastAsiaTheme="majorEastAsia"/>
          <w:szCs w:val="21"/>
        </w:rPr>
        <w:t>质疑供应商应根据本须知35.3.3、35.4款规定，至</w:t>
      </w:r>
      <w:r>
        <w:rPr>
          <w:rFonts w:hint="eastAsia" w:asciiTheme="majorEastAsia" w:hAnsiTheme="majorEastAsia" w:eastAsiaTheme="majorEastAsia"/>
          <w:bCs/>
          <w:szCs w:val="21"/>
        </w:rPr>
        <w:t>采购代理机构</w:t>
      </w:r>
      <w:r>
        <w:rPr>
          <w:rFonts w:hint="eastAsia" w:asciiTheme="majorEastAsia" w:hAnsiTheme="majorEastAsia" w:eastAsiaTheme="majorEastAsia"/>
          <w:szCs w:val="21"/>
        </w:rPr>
        <w:t>现场递交质疑材料</w:t>
      </w:r>
      <w:r>
        <w:rPr>
          <w:rFonts w:hint="eastAsia" w:asciiTheme="majorEastAsia" w:hAnsiTheme="majorEastAsia" w:eastAsiaTheme="majorEastAsia"/>
          <w:bCs/>
          <w:szCs w:val="21"/>
        </w:rPr>
        <w:t>，地址：深圳市福田区民田路171号新华保险大厦903深圳市中正招标有限公司，质疑咨询电话：0755-83026699。</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35.6质疑受理</w:t>
      </w:r>
      <w:r>
        <w:rPr>
          <w:rFonts w:asciiTheme="majorEastAsia" w:hAnsiTheme="majorEastAsia" w:eastAsiaTheme="majorEastAsia"/>
          <w:szCs w:val="21"/>
        </w:rPr>
        <w:t>程序</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35.6.1供应商提交的质疑符合受理条件的，采购代理机构自收到质疑材料之日起即为受理，并向供应商出具质疑函受理回执并可以要求其递交质疑的法定代表人（负责人）或者授权代理人签署质疑文书送达地址确认书。</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35.6.2供应商提交的质疑材料不符合质疑条件的，视情况处理：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供应商提交的质疑材料不全或者未按要求签字或者盖章的，采购代理机构应当一次性告知供应商需补正的内容和补正期限。</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供应商提交的质疑存在下列情形之一的，不予受理：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（1）质疑主体不满足要求的；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（2）供应商自身权益未受到损害的；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（3）供应商未在法定质疑期限内提出质疑的；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（4）质疑材料不全或者未按要求签字或者盖章的情况下，要求补正后，逾期未补正或者补正后仍不符合规定的；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（5）其他不符合受理条件情形的。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质疑事项不予受理的，采购代理机构应当向供应商出具不符合质疑条件告知书。</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35.7质疑答复时限</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自收文之日起七个工作日内。</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35.8投诉</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对质疑答复不满意或者未在规定时间内答复的，提出质疑的供应商可以在答复期满后15个工作日内向同级财政部门投诉。</w:t>
      </w:r>
      <w:bookmarkEnd w:id="32"/>
    </w:p>
    <w:p/>
    <w:p/>
    <w:p/>
    <w:p/>
    <w:p/>
    <w:p/>
    <w:p/>
    <w:p/>
    <w:p/>
    <w:p/>
    <w:p/>
    <w:p/>
    <w:p/>
    <w:p/>
    <w:p/>
    <w:p/>
    <w:p/>
    <w:p>
      <w:pPr>
        <w:pStyle w:val="2"/>
      </w:pPr>
      <w:bookmarkStart w:id="34" w:name="_Toc135293177"/>
      <w:r>
        <w:rPr>
          <w:rFonts w:hint="eastAsia"/>
        </w:rPr>
        <w:t>第七章  投标文件格式</w:t>
      </w:r>
      <w:bookmarkEnd w:id="34"/>
    </w:p>
    <w:p>
      <w:pPr>
        <w:jc w:val="center"/>
        <w:rPr>
          <w:b/>
          <w:sz w:val="52"/>
          <w:szCs w:val="52"/>
        </w:rPr>
      </w:pPr>
    </w:p>
    <w:p>
      <w:pPr>
        <w:pStyle w:val="4"/>
        <w:spacing w:line="400" w:lineRule="exact"/>
        <w:rPr>
          <w:rFonts w:ascii="仿宋" w:hAnsi="仿宋" w:eastAsia="仿宋"/>
        </w:rPr>
      </w:pPr>
      <w:bookmarkStart w:id="35" w:name="_Toc44691163"/>
      <w:bookmarkStart w:id="36" w:name="_Toc44691395"/>
      <w:bookmarkStart w:id="37" w:name="_Toc44690431"/>
      <w:bookmarkStart w:id="38" w:name="_Toc25194"/>
      <w:bookmarkStart w:id="39" w:name="_Toc14934"/>
      <w:bookmarkStart w:id="40" w:name="_Toc31468"/>
      <w:bookmarkStart w:id="41" w:name="_Toc11772"/>
      <w:bookmarkStart w:id="42" w:name="_Toc135293178"/>
      <w:bookmarkStart w:id="43" w:name="_Toc44690704"/>
      <w:r>
        <w:rPr>
          <w:rFonts w:hint="eastAsia" w:ascii="仿宋" w:hAnsi="仿宋" w:eastAsia="仿宋"/>
        </w:rPr>
        <w:t>投标文件编制说明</w:t>
      </w:r>
      <w:bookmarkEnd w:id="35"/>
      <w:bookmarkEnd w:id="36"/>
      <w:bookmarkEnd w:id="37"/>
      <w:bookmarkEnd w:id="38"/>
      <w:bookmarkEnd w:id="39"/>
      <w:bookmarkEnd w:id="40"/>
      <w:bookmarkEnd w:id="41"/>
      <w:bookmarkEnd w:id="42"/>
      <w:bookmarkEnd w:id="43"/>
    </w:p>
    <w:tbl>
      <w:tblPr>
        <w:tblStyle w:val="51"/>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957"/>
        <w:gridCol w:w="3004"/>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序号</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名称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内容规定</w:t>
            </w:r>
          </w:p>
        </w:tc>
        <w:tc>
          <w:tcPr>
            <w:tcW w:w="4161"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1</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投标文件的组成</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详见第六章“投标人须知”第10条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1.1 投标人选取本章相应格式编制投标文件，如没有相应格式的，由投标人根据招标要求自行编制。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2</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投标文件的密封和标记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详见第六章“投标人须知”第17-18条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投标文件应按以下两部分，分别密封包装和标记：</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2.1 投标文件正本、副本和密封好的备份光盘（或U盘）（封包1）。</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2.2 法定代表人（负责人）证明书、法定代表人（负责人）授权委托书和开标一览表（封包2）。</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注：</w:t>
            </w:r>
            <w:r>
              <w:rPr>
                <w:rFonts w:hint="eastAsia" w:asciiTheme="minorEastAsia" w:hAnsiTheme="minorEastAsia" w:eastAsiaTheme="minorEastAsia"/>
                <w:snapToGrid w:val="0"/>
                <w:kern w:val="0"/>
              </w:rPr>
              <w:t>投标文件必须标注页码并装订成册。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3</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投标文件的签字和盖章</w:t>
            </w:r>
          </w:p>
        </w:tc>
        <w:tc>
          <w:tcPr>
            <w:tcW w:w="3004" w:type="dxa"/>
            <w:vAlign w:val="center"/>
          </w:tcPr>
          <w:p>
            <w:pPr>
              <w:spacing w:line="360" w:lineRule="auto"/>
              <w:jc w:val="left"/>
              <w:rPr>
                <w:rFonts w:asciiTheme="minorEastAsia" w:hAnsiTheme="minorEastAsia" w:eastAsiaTheme="minorEastAsia"/>
              </w:rPr>
            </w:pPr>
            <w:r>
              <w:rPr>
                <w:rFonts w:hint="eastAsia" w:asciiTheme="minorEastAsia" w:hAnsiTheme="minorEastAsia" w:eastAsiaTheme="minorEastAsia"/>
              </w:rPr>
              <w:t>投标文件应按招标文件要求签字和盖章（包括投标文件格式要求、评标标准对证明文件的要求等）。</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3.1 公章指投标人经备案的行政公章，不包括“投标专用章”、“业务专用章”、“合同专用章”、“财务专用章”等。</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3.2 投标文件应加盖骑缝章。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3.3 签字方式可以是手写方式、盖人名章方式或盖手签章方式。</w:t>
            </w:r>
          </w:p>
        </w:tc>
      </w:tr>
    </w:tbl>
    <w:p>
      <w:pPr>
        <w:spacing w:line="360" w:lineRule="auto"/>
        <w:ind w:firstLine="420" w:firstLineChars="200"/>
        <w:rPr>
          <w:rFonts w:asciiTheme="minorEastAsia" w:hAnsiTheme="minorEastAsia" w:eastAsiaTheme="minorEastAsia"/>
        </w:rPr>
      </w:pPr>
    </w:p>
    <w:p>
      <w:pPr>
        <w:spacing w:line="360" w:lineRule="auto"/>
        <w:ind w:firstLine="420" w:firstLineChars="200"/>
        <w:rPr>
          <w:rFonts w:asciiTheme="minorEastAsia" w:hAnsiTheme="minorEastAsia" w:eastAsiaTheme="minorEastAsia"/>
        </w:rPr>
      </w:pPr>
    </w:p>
    <w:p>
      <w:pPr>
        <w:jc w:val="center"/>
        <w:rPr>
          <w:b/>
          <w:sz w:val="52"/>
          <w:szCs w:val="52"/>
        </w:rPr>
      </w:pPr>
    </w:p>
    <w:p/>
    <w:p/>
    <w:p/>
    <w:p/>
    <w:p>
      <w:pPr>
        <w:jc w:val="center"/>
        <w:rPr>
          <w:b/>
          <w:bCs/>
          <w:sz w:val="52"/>
        </w:rPr>
      </w:pPr>
    </w:p>
    <w:p>
      <w:pPr>
        <w:jc w:val="center"/>
        <w:rPr>
          <w:b/>
          <w:bCs/>
          <w:sz w:val="52"/>
        </w:rPr>
      </w:pPr>
      <w:r>
        <w:rPr>
          <w:rFonts w:hint="eastAsia"/>
          <w:b/>
          <w:bCs/>
          <w:sz w:val="52"/>
        </w:rPr>
        <w:t>投 标 文 件</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rFonts w:ascii="宋体" w:hAnsi="宋体"/>
          <w:b/>
          <w:bCs/>
          <w:sz w:val="30"/>
          <w:szCs w:val="30"/>
        </w:rPr>
      </w:pPr>
      <w:r>
        <w:rPr>
          <w:rFonts w:hint="eastAsia" w:ascii="宋体" w:hAnsi="宋体"/>
          <w:b/>
          <w:bCs/>
          <w:sz w:val="30"/>
          <w:szCs w:val="30"/>
        </w:rPr>
        <w:t>（正本/副本）</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spacing w:line="480" w:lineRule="auto"/>
        <w:ind w:firstLine="1275" w:firstLineChars="529"/>
        <w:rPr>
          <w:b/>
          <w:bCs/>
          <w:sz w:val="24"/>
          <w:u w:val="single"/>
        </w:rPr>
      </w:pPr>
      <w:r>
        <w:rPr>
          <w:rFonts w:hint="eastAsia"/>
          <w:b/>
          <w:bCs/>
          <w:sz w:val="24"/>
        </w:rPr>
        <w:t>项 目  名 称：</w:t>
      </w:r>
      <w:r>
        <w:rPr>
          <w:rFonts w:hint="eastAsia"/>
          <w:b/>
          <w:bCs/>
          <w:sz w:val="24"/>
          <w:u w:val="single"/>
        </w:rPr>
        <w:t xml:space="preserve">                                      </w:t>
      </w:r>
    </w:p>
    <w:p>
      <w:pPr>
        <w:spacing w:line="480" w:lineRule="auto"/>
        <w:ind w:firstLine="1275" w:firstLineChars="529"/>
        <w:rPr>
          <w:b/>
          <w:bCs/>
          <w:sz w:val="24"/>
          <w:u w:val="single"/>
        </w:rPr>
      </w:pPr>
      <w:r>
        <w:rPr>
          <w:rFonts w:hint="eastAsia"/>
          <w:b/>
          <w:bCs/>
          <w:sz w:val="24"/>
        </w:rPr>
        <w:t>项 目  编 号：</w:t>
      </w:r>
      <w:r>
        <w:rPr>
          <w:rFonts w:hint="eastAsia"/>
          <w:b/>
          <w:bCs/>
          <w:sz w:val="24"/>
          <w:u w:val="single"/>
        </w:rPr>
        <w:t xml:space="preserve">                                      </w:t>
      </w:r>
    </w:p>
    <w:p>
      <w:pPr>
        <w:spacing w:line="480" w:lineRule="auto"/>
        <w:ind w:firstLine="1275" w:firstLineChars="529"/>
        <w:rPr>
          <w:b/>
          <w:bCs/>
          <w:sz w:val="24"/>
        </w:rPr>
      </w:pPr>
      <w:r>
        <w:rPr>
          <w:rFonts w:hint="eastAsia"/>
          <w:b/>
          <w:bCs/>
          <w:sz w:val="24"/>
        </w:rPr>
        <w:t>法定代表人或</w:t>
      </w:r>
    </w:p>
    <w:p>
      <w:pPr>
        <w:spacing w:line="480" w:lineRule="auto"/>
        <w:ind w:firstLine="1275" w:firstLineChars="529"/>
        <w:rPr>
          <w:sz w:val="24"/>
          <w:u w:val="dotted"/>
        </w:rPr>
      </w:pPr>
      <w:r>
        <w:rPr>
          <w:rFonts w:hint="eastAsia"/>
          <w:b/>
          <w:bCs/>
          <w:sz w:val="24"/>
        </w:rPr>
        <w:t>委 托 代理人：</w:t>
      </w:r>
      <w:r>
        <w:rPr>
          <w:rFonts w:hint="eastAsia"/>
          <w:b/>
          <w:sz w:val="24"/>
          <w:u w:val="single"/>
        </w:rPr>
        <w:t xml:space="preserve">                                      </w:t>
      </w:r>
    </w:p>
    <w:p>
      <w:pPr>
        <w:spacing w:line="480" w:lineRule="auto"/>
        <w:ind w:firstLine="1275" w:firstLineChars="529"/>
        <w:rPr>
          <w:b/>
          <w:bCs/>
          <w:sz w:val="24"/>
          <w:u w:val="dotted"/>
        </w:rPr>
      </w:pPr>
      <w:r>
        <w:rPr>
          <w:rFonts w:hint="eastAsia"/>
          <w:b/>
          <w:bCs/>
          <w:sz w:val="24"/>
        </w:rPr>
        <w:t>投   标   人：</w:t>
      </w:r>
      <w:r>
        <w:rPr>
          <w:rFonts w:hint="eastAsia"/>
          <w:b/>
          <w:bCs/>
          <w:sz w:val="24"/>
          <w:u w:val="single"/>
        </w:rPr>
        <w:t xml:space="preserve">                                      </w:t>
      </w:r>
    </w:p>
    <w:p>
      <w:pPr>
        <w:spacing w:line="480" w:lineRule="auto"/>
        <w:ind w:firstLine="1275" w:firstLineChars="529"/>
      </w:pPr>
      <w:r>
        <w:rPr>
          <w:rFonts w:hint="eastAsia"/>
          <w:b/>
          <w:bCs/>
          <w:sz w:val="24"/>
        </w:rPr>
        <w:t>日        期：</w:t>
      </w:r>
      <w:r>
        <w:rPr>
          <w:rFonts w:hint="eastAsia"/>
          <w:sz w:val="24"/>
          <w:u w:val="single"/>
        </w:rPr>
        <w:t xml:space="preserve">              </w:t>
      </w:r>
      <w:r>
        <w:rPr>
          <w:rFonts w:hint="eastAsia"/>
          <w:b/>
          <w:bCs/>
          <w:sz w:val="24"/>
        </w:rPr>
        <w:t>年</w:t>
      </w:r>
      <w:r>
        <w:rPr>
          <w:rFonts w:hint="eastAsia"/>
          <w:sz w:val="24"/>
          <w:u w:val="single"/>
        </w:rPr>
        <w:t xml:space="preserve">         </w:t>
      </w:r>
      <w:r>
        <w:rPr>
          <w:rFonts w:hint="eastAsia"/>
          <w:b/>
          <w:bCs/>
          <w:sz w:val="24"/>
        </w:rPr>
        <w:t>月</w:t>
      </w:r>
      <w:r>
        <w:rPr>
          <w:rFonts w:hint="eastAsia"/>
          <w:sz w:val="24"/>
          <w:u w:val="single"/>
        </w:rPr>
        <w:t xml:space="preserve">         </w:t>
      </w:r>
      <w:r>
        <w:rPr>
          <w:rFonts w:hint="eastAsia"/>
          <w:b/>
          <w:bCs/>
          <w:sz w:val="24"/>
        </w:rPr>
        <w:t>日</w:t>
      </w:r>
    </w:p>
    <w:p>
      <w:pPr>
        <w:rPr>
          <w:b/>
          <w:bCs/>
        </w:rPr>
      </w:pPr>
    </w:p>
    <w:p>
      <w:pPr>
        <w:spacing w:line="400" w:lineRule="exact"/>
        <w:rPr>
          <w:rFonts w:ascii="仿宋" w:hAnsi="仿宋" w:eastAsia="仿宋"/>
        </w:rPr>
      </w:pPr>
      <w:bookmarkStart w:id="44" w:name="_投标文件格式（第一册）"/>
      <w:bookmarkEnd w:id="44"/>
      <w:bookmarkStart w:id="45" w:name="q0"/>
    </w:p>
    <w:p>
      <w:pPr>
        <w:spacing w:line="400" w:lineRule="exact"/>
        <w:rPr>
          <w:rFonts w:ascii="仿宋" w:hAnsi="仿宋" w:eastAsia="仿宋"/>
        </w:rPr>
      </w:pPr>
    </w:p>
    <w:p>
      <w:pPr>
        <w:spacing w:line="400" w:lineRule="exact"/>
        <w:rPr>
          <w:rFonts w:ascii="仿宋" w:hAnsi="仿宋" w:eastAsia="仿宋"/>
        </w:rPr>
      </w:pPr>
    </w:p>
    <w:p>
      <w:pPr>
        <w:pStyle w:val="4"/>
        <w:spacing w:line="400" w:lineRule="exact"/>
        <w:rPr>
          <w:rFonts w:ascii="仿宋" w:hAnsi="仿宋" w:eastAsia="仿宋"/>
        </w:rPr>
      </w:pPr>
      <w:bookmarkStart w:id="46" w:name="_Toc135293179"/>
      <w:r>
        <w:rPr>
          <w:rFonts w:hint="eastAsia" w:ascii="仿宋" w:hAnsi="仿宋" w:eastAsia="仿宋"/>
        </w:rPr>
        <w:t>投标文件格式</w:t>
      </w:r>
      <w:bookmarkEnd w:id="46"/>
    </w:p>
    <w:bookmarkEnd w:id="45"/>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目录（自拟）</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政府采购违法行为风险知悉确认书</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评标指引表</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投标人资格证明文件（格式1）</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法定代表人证明书及授权委托书（格式2）</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投标函（格式3）</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评分中涉及的承诺及声明函（格式4）</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开标一览表（格式5）</w:t>
      </w:r>
    </w:p>
    <w:p>
      <w:pPr>
        <w:adjustRightInd w:val="0"/>
        <w:spacing w:line="360" w:lineRule="auto"/>
        <w:ind w:firstLine="422" w:firstLineChars="200"/>
        <w:rPr>
          <w:rFonts w:asciiTheme="minorEastAsia" w:hAnsiTheme="minorEastAsia" w:eastAsiaTheme="minorEastAsia"/>
          <w:b/>
          <w:bCs/>
          <w:snapToGrid w:val="0"/>
          <w:kern w:val="0"/>
          <w:szCs w:val="21"/>
        </w:rPr>
      </w:pPr>
      <w:r>
        <w:rPr>
          <w:rFonts w:hint="eastAsia" w:asciiTheme="minorEastAsia" w:hAnsiTheme="minorEastAsia" w:eastAsiaTheme="minorEastAsia"/>
          <w:b/>
          <w:snapToGrid w:val="0"/>
          <w:kern w:val="0"/>
          <w:szCs w:val="21"/>
        </w:rPr>
        <w:t>注：此表应与“法定代表人（负责人）证明书、法定代表人（负责人）授权委托书”一起密封于一信封，在递交投标文件时单独交予</w:t>
      </w:r>
      <w:r>
        <w:rPr>
          <w:rFonts w:hint="eastAsia" w:asciiTheme="minorEastAsia" w:hAnsiTheme="minorEastAsia" w:eastAsiaTheme="minorEastAsia"/>
          <w:b/>
          <w:bCs/>
          <w:snapToGrid w:val="0"/>
          <w:kern w:val="0"/>
          <w:szCs w:val="21"/>
        </w:rPr>
        <w:t>采购代理机构。</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报价表（格式6）</w:t>
      </w:r>
    </w:p>
    <w:p>
      <w:pPr>
        <w:pStyle w:val="455"/>
        <w:numPr>
          <w:ilvl w:val="0"/>
          <w:numId w:val="4"/>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rPr>
        <w:t>服务方案</w:t>
      </w:r>
      <w:r>
        <w:rPr>
          <w:rFonts w:asciiTheme="minorEastAsia" w:hAnsiTheme="minorEastAsia" w:eastAsiaTheme="minorEastAsia"/>
          <w:snapToGrid w:val="0"/>
          <w:kern w:val="0"/>
          <w:szCs w:val="21"/>
        </w:rPr>
        <w:t>（格式</w:t>
      </w:r>
      <w:r>
        <w:rPr>
          <w:rFonts w:hint="eastAsia" w:asciiTheme="minorEastAsia" w:hAnsiTheme="minorEastAsia" w:eastAsiaTheme="minorEastAsia"/>
          <w:snapToGrid w:val="0"/>
          <w:kern w:val="0"/>
          <w:szCs w:val="21"/>
        </w:rPr>
        <w:t>7</w:t>
      </w:r>
      <w:r>
        <w:rPr>
          <w:rFonts w:asciiTheme="minorEastAsia" w:hAnsiTheme="minorEastAsia" w:eastAsiaTheme="minorEastAsia"/>
          <w:snapToGrid w:val="0"/>
          <w:kern w:val="0"/>
          <w:szCs w:val="21"/>
        </w:rPr>
        <w:t>）</w:t>
      </w:r>
    </w:p>
    <w:p>
      <w:pPr>
        <w:pStyle w:val="455"/>
        <w:numPr>
          <w:ilvl w:val="0"/>
          <w:numId w:val="4"/>
        </w:numPr>
        <w:adjustRightInd w:val="0"/>
        <w:spacing w:line="360" w:lineRule="auto"/>
        <w:ind w:firstLineChars="0"/>
        <w:rPr>
          <w:rFonts w:asciiTheme="minorEastAsia" w:hAnsiTheme="minorEastAsia" w:eastAsiaTheme="minorEastAsia"/>
          <w:snapToGrid w:val="0"/>
          <w:kern w:val="0"/>
        </w:rPr>
      </w:pPr>
      <w:r>
        <w:rPr>
          <w:rFonts w:asciiTheme="minorEastAsia" w:hAnsiTheme="minorEastAsia" w:eastAsiaTheme="minorEastAsia"/>
          <w:snapToGrid w:val="0"/>
          <w:kern w:val="0"/>
        </w:rPr>
        <w:t>投标人情况介绍</w:t>
      </w:r>
      <w:r>
        <w:rPr>
          <w:rFonts w:hint="eastAsia" w:asciiTheme="minorEastAsia" w:hAnsiTheme="minorEastAsia" w:eastAsiaTheme="minorEastAsia"/>
          <w:snapToGrid w:val="0"/>
          <w:kern w:val="0"/>
        </w:rPr>
        <w:t>（</w:t>
      </w:r>
      <w:r>
        <w:rPr>
          <w:rFonts w:asciiTheme="minorEastAsia" w:hAnsiTheme="minorEastAsia" w:eastAsiaTheme="minorEastAsia"/>
          <w:snapToGrid w:val="0"/>
          <w:kern w:val="0"/>
        </w:rPr>
        <w:t>格式</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p>
    <w:p>
      <w:pPr>
        <w:pStyle w:val="455"/>
        <w:numPr>
          <w:ilvl w:val="0"/>
          <w:numId w:val="4"/>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偏离</w:t>
      </w:r>
      <w:r>
        <w:rPr>
          <w:rFonts w:asciiTheme="minorEastAsia" w:hAnsiTheme="minorEastAsia" w:eastAsiaTheme="minorEastAsia"/>
          <w:snapToGrid w:val="0"/>
          <w:kern w:val="0"/>
          <w:szCs w:val="21"/>
        </w:rPr>
        <w:t>表（格式</w:t>
      </w:r>
      <w:r>
        <w:rPr>
          <w:rFonts w:hint="eastAsia" w:asciiTheme="minorEastAsia" w:hAnsiTheme="minorEastAsia" w:eastAsiaTheme="minorEastAsia"/>
          <w:snapToGrid w:val="0"/>
          <w:kern w:val="0"/>
          <w:szCs w:val="21"/>
        </w:rPr>
        <w:t>9</w:t>
      </w:r>
      <w:r>
        <w:rPr>
          <w:rFonts w:asciiTheme="minorEastAsia" w:hAnsiTheme="minorEastAsia" w:eastAsiaTheme="minorEastAsia"/>
          <w:snapToGrid w:val="0"/>
          <w:kern w:val="0"/>
          <w:szCs w:val="21"/>
        </w:rPr>
        <w:t>）</w:t>
      </w:r>
    </w:p>
    <w:p>
      <w:pPr>
        <w:pStyle w:val="455"/>
        <w:numPr>
          <w:ilvl w:val="0"/>
          <w:numId w:val="4"/>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rPr>
        <w:t>招标文件要求的其他资料或投标人认为需要补充的资料</w:t>
      </w:r>
      <w:r>
        <w:rPr>
          <w:rFonts w:hint="eastAsia" w:asciiTheme="minorEastAsia" w:hAnsiTheme="minorEastAsia" w:eastAsiaTheme="minorEastAsia"/>
          <w:snapToGrid w:val="0"/>
          <w:kern w:val="0"/>
          <w:szCs w:val="21"/>
        </w:rPr>
        <w:t>（格式10）</w:t>
      </w: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ind w:hanging="2"/>
        <w:rPr>
          <w:b/>
          <w:bCs/>
          <w:sz w:val="28"/>
        </w:rPr>
      </w:pPr>
    </w:p>
    <w:p>
      <w:pPr>
        <w:adjustRightInd w:val="0"/>
        <w:snapToGrid w:val="0"/>
        <w:spacing w:line="300" w:lineRule="auto"/>
        <w:jc w:val="center"/>
      </w:pPr>
      <w:bookmarkStart w:id="47" w:name="_格式1__投标人资格证明文件"/>
      <w:bookmarkEnd w:id="47"/>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pStyle w:val="4"/>
        <w:spacing w:line="400" w:lineRule="exact"/>
        <w:rPr>
          <w:rFonts w:ascii="仿宋" w:hAnsi="仿宋" w:eastAsia="仿宋"/>
        </w:rPr>
      </w:pPr>
      <w:bookmarkStart w:id="48" w:name="_Toc135293180"/>
      <w:bookmarkStart w:id="49" w:name="_Toc73613640"/>
      <w:r>
        <w:rPr>
          <w:rFonts w:hint="eastAsia" w:ascii="仿宋" w:hAnsi="仿宋" w:eastAsia="仿宋"/>
        </w:rPr>
        <w:t>政府采购违法行为风险知悉确认书</w:t>
      </w:r>
      <w:bookmarkEnd w:id="48"/>
    </w:p>
    <w:p>
      <w:pPr>
        <w:spacing w:line="360" w:lineRule="auto"/>
        <w:ind w:firstLine="420" w:firstLineChars="200"/>
        <w:rPr>
          <w:rFonts w:ascii="宋体" w:hAnsi="宋体"/>
          <w:szCs w:val="21"/>
        </w:rPr>
      </w:pPr>
      <w:r>
        <w:rPr>
          <w:rFonts w:hint="eastAsia" w:ascii="宋体" w:hAnsi="宋体"/>
          <w:szCs w:val="21"/>
        </w:rPr>
        <w:t>本公司在投标前已充分知悉以下情形为参与政府采购活动时的重大风险事项，并承诺已对下述风险提示事项重点排查，做到严谨、诚信、依法依规参与政府采购活动。</w:t>
      </w:r>
    </w:p>
    <w:p>
      <w:pPr>
        <w:spacing w:line="360" w:lineRule="auto"/>
        <w:ind w:firstLine="422" w:firstLineChars="200"/>
        <w:rPr>
          <w:rFonts w:ascii="宋体" w:hAnsi="宋体"/>
          <w:b/>
          <w:szCs w:val="21"/>
        </w:rPr>
      </w:pPr>
      <w:r>
        <w:rPr>
          <w:rFonts w:hint="eastAsia" w:ascii="宋体" w:hAnsi="宋体"/>
          <w:b/>
          <w:szCs w:val="21"/>
        </w:rPr>
        <w:t>一、本公司已充分知悉“隐瞒真实情况，提供虚假资料”的法定情形，相关情形包括但不限于：</w:t>
      </w:r>
    </w:p>
    <w:p>
      <w:pPr>
        <w:spacing w:line="360" w:lineRule="auto"/>
        <w:ind w:firstLine="420" w:firstLineChars="200"/>
        <w:rPr>
          <w:rFonts w:ascii="宋体" w:hAnsi="宋体"/>
          <w:szCs w:val="21"/>
        </w:rPr>
      </w:pPr>
      <w:r>
        <w:rPr>
          <w:rFonts w:hint="eastAsia" w:ascii="宋体" w:hAnsi="宋体"/>
          <w:szCs w:val="21"/>
        </w:rPr>
        <w:t>（一）通过转让或者租借等方式从其他单位获取资格或者资质证书投标的。</w:t>
      </w:r>
    </w:p>
    <w:p>
      <w:pPr>
        <w:spacing w:line="360" w:lineRule="auto"/>
        <w:ind w:firstLine="420" w:firstLineChars="200"/>
        <w:rPr>
          <w:rFonts w:ascii="宋体" w:hAnsi="宋体"/>
          <w:szCs w:val="21"/>
        </w:rPr>
      </w:pPr>
      <w:r>
        <w:rPr>
          <w:rFonts w:hint="eastAsia" w:ascii="宋体" w:hAnsi="宋体"/>
          <w:szCs w:val="21"/>
        </w:rPr>
        <w:t>（二）由其他单位或者其他单位负责人在投标供应商编制的投标文件上加盖印章或者签字的。</w:t>
      </w:r>
    </w:p>
    <w:p>
      <w:pPr>
        <w:spacing w:line="360" w:lineRule="auto"/>
        <w:ind w:firstLine="420" w:firstLineChars="200"/>
        <w:rPr>
          <w:rFonts w:ascii="宋体" w:hAnsi="宋体"/>
          <w:szCs w:val="21"/>
        </w:rPr>
      </w:pPr>
      <w:r>
        <w:rPr>
          <w:rFonts w:hint="eastAsia" w:ascii="宋体" w:hAnsi="宋体"/>
          <w:szCs w:val="21"/>
        </w:rPr>
        <w:t>（三）项目负责人或者主要技术人员不是本单位人员的。</w:t>
      </w:r>
    </w:p>
    <w:p>
      <w:pPr>
        <w:spacing w:line="360" w:lineRule="auto"/>
        <w:ind w:firstLine="420" w:firstLineChars="200"/>
        <w:rPr>
          <w:rFonts w:ascii="宋体" w:hAnsi="宋体"/>
          <w:szCs w:val="21"/>
        </w:rPr>
      </w:pPr>
      <w:r>
        <w:rPr>
          <w:rFonts w:hint="eastAsia" w:ascii="宋体" w:hAnsi="宋体"/>
          <w:szCs w:val="21"/>
        </w:rPr>
        <w:t>（四）投标保证金不是从投标供应商基本账户转出的。</w:t>
      </w:r>
    </w:p>
    <w:p>
      <w:pPr>
        <w:spacing w:line="360" w:lineRule="auto"/>
        <w:ind w:firstLine="420" w:firstLineChars="200"/>
        <w:rPr>
          <w:rFonts w:ascii="宋体" w:hAnsi="宋体"/>
          <w:szCs w:val="21"/>
        </w:rPr>
      </w:pPr>
      <w:r>
        <w:rPr>
          <w:rFonts w:hint="eastAsia" w:ascii="宋体" w:hAnsi="宋体"/>
          <w:szCs w:val="21"/>
        </w:rPr>
        <w:t>（五）其他隐瞒真实情况、提供虚假资料的行为。</w:t>
      </w:r>
    </w:p>
    <w:p>
      <w:pPr>
        <w:spacing w:line="360" w:lineRule="auto"/>
        <w:ind w:firstLine="422" w:firstLineChars="200"/>
        <w:rPr>
          <w:rFonts w:ascii="宋体" w:hAnsi="宋体"/>
          <w:b/>
          <w:szCs w:val="21"/>
        </w:rPr>
      </w:pPr>
      <w:r>
        <w:rPr>
          <w:rFonts w:hint="eastAsia" w:ascii="宋体" w:hAnsi="宋体"/>
          <w:b/>
          <w:szCs w:val="21"/>
        </w:rPr>
        <w:t>二、本公司已充分知悉“与其他采购参加人串通投标”的法定情形，相关情形包括但不限于：</w:t>
      </w:r>
    </w:p>
    <w:p>
      <w:pPr>
        <w:spacing w:line="360" w:lineRule="auto"/>
        <w:ind w:firstLine="420" w:firstLineChars="200"/>
        <w:rPr>
          <w:rFonts w:ascii="宋体" w:hAnsi="宋体"/>
          <w:szCs w:val="21"/>
        </w:rPr>
      </w:pPr>
      <w:r>
        <w:rPr>
          <w:rFonts w:hint="eastAsia" w:ascii="宋体" w:hAnsi="宋体"/>
          <w:szCs w:val="21"/>
        </w:rPr>
        <w:t>（一）投标供应商之间相互约定给予未中标的供应商利益补偿。</w:t>
      </w:r>
    </w:p>
    <w:p>
      <w:pPr>
        <w:spacing w:line="360" w:lineRule="auto"/>
        <w:ind w:firstLine="420" w:firstLineChars="200"/>
        <w:rPr>
          <w:rFonts w:ascii="宋体" w:hAnsi="宋体"/>
          <w:szCs w:val="21"/>
        </w:rPr>
      </w:pPr>
      <w:r>
        <w:rPr>
          <w:rFonts w:hint="eastAsia" w:ascii="宋体" w:hAnsi="宋体"/>
          <w:szCs w:val="21"/>
        </w:rPr>
        <w:t>（二）不同投标供应商的法定代表人、主要经营负责人、项目投标授权代表人、项目负责人、主要技术人员为同一人、属同一单位或者在同一单位缴纳社会保险。</w:t>
      </w:r>
    </w:p>
    <w:p>
      <w:pPr>
        <w:spacing w:line="360" w:lineRule="auto"/>
        <w:ind w:firstLine="420" w:firstLineChars="200"/>
        <w:rPr>
          <w:rFonts w:ascii="宋体" w:hAnsi="宋体"/>
          <w:szCs w:val="21"/>
        </w:rPr>
      </w:pPr>
      <w:r>
        <w:rPr>
          <w:rFonts w:hint="eastAsia" w:ascii="宋体" w:hAnsi="宋体"/>
          <w:szCs w:val="21"/>
        </w:rPr>
        <w:t>（三）不同投标供应商的投标文件由同一单位或者同一人编制，或者由同一人分阶段参与编制的。</w:t>
      </w:r>
    </w:p>
    <w:p>
      <w:pPr>
        <w:spacing w:line="360" w:lineRule="auto"/>
        <w:ind w:firstLine="420" w:firstLineChars="200"/>
        <w:rPr>
          <w:rFonts w:ascii="宋体" w:hAnsi="宋体"/>
          <w:szCs w:val="21"/>
        </w:rPr>
      </w:pPr>
      <w:r>
        <w:rPr>
          <w:rFonts w:hint="eastAsia" w:ascii="宋体" w:hAnsi="宋体"/>
          <w:szCs w:val="21"/>
        </w:rPr>
        <w:t>（四）不同投标供应商的投标文件或部分投标文件相互混装。</w:t>
      </w:r>
    </w:p>
    <w:p>
      <w:pPr>
        <w:spacing w:line="360" w:lineRule="auto"/>
        <w:ind w:firstLine="420" w:firstLineChars="200"/>
        <w:rPr>
          <w:rFonts w:ascii="宋体" w:hAnsi="宋体"/>
          <w:szCs w:val="21"/>
        </w:rPr>
      </w:pPr>
      <w:r>
        <w:rPr>
          <w:rFonts w:hint="eastAsia" w:ascii="宋体" w:hAnsi="宋体"/>
          <w:szCs w:val="21"/>
        </w:rPr>
        <w:t>（五）不同投标供应商的投标文件内容存在非正常一致。</w:t>
      </w:r>
    </w:p>
    <w:p>
      <w:pPr>
        <w:spacing w:line="360" w:lineRule="auto"/>
        <w:ind w:firstLine="420" w:firstLineChars="200"/>
        <w:rPr>
          <w:rFonts w:ascii="宋体" w:hAnsi="宋体"/>
          <w:szCs w:val="21"/>
        </w:rPr>
      </w:pPr>
      <w:r>
        <w:rPr>
          <w:rFonts w:hint="eastAsia" w:ascii="宋体" w:hAnsi="宋体"/>
          <w:szCs w:val="21"/>
        </w:rPr>
        <w:t>（六）由同一单位工作人员为两家以上（含两家）供应商进行同一项投标活动的。</w:t>
      </w:r>
    </w:p>
    <w:p>
      <w:pPr>
        <w:spacing w:line="360" w:lineRule="auto"/>
        <w:ind w:firstLine="420" w:firstLineChars="200"/>
        <w:rPr>
          <w:rFonts w:ascii="宋体" w:hAnsi="宋体"/>
          <w:szCs w:val="21"/>
        </w:rPr>
      </w:pPr>
      <w:r>
        <w:rPr>
          <w:rFonts w:hint="eastAsia" w:ascii="宋体" w:hAnsi="宋体"/>
          <w:szCs w:val="21"/>
        </w:rPr>
        <w:t>（七）不同投标人的投标报价呈规律性差异。</w:t>
      </w:r>
    </w:p>
    <w:p>
      <w:pPr>
        <w:spacing w:line="360" w:lineRule="auto"/>
        <w:ind w:firstLine="420" w:firstLineChars="200"/>
        <w:rPr>
          <w:rFonts w:ascii="宋体" w:hAnsi="宋体"/>
          <w:szCs w:val="21"/>
        </w:rPr>
      </w:pPr>
      <w:r>
        <w:rPr>
          <w:rFonts w:hint="eastAsia" w:ascii="宋体" w:hAnsi="宋体"/>
          <w:szCs w:val="21"/>
        </w:rPr>
        <w:t>（八）不同投标人的投标保证金从同一单位或者个人的账户转出。</w:t>
      </w:r>
    </w:p>
    <w:p>
      <w:pPr>
        <w:spacing w:line="360" w:lineRule="auto"/>
        <w:ind w:firstLine="420" w:firstLineChars="200"/>
        <w:rPr>
          <w:rFonts w:ascii="宋体" w:hAnsi="宋体"/>
          <w:szCs w:val="21"/>
        </w:rPr>
      </w:pPr>
      <w:r>
        <w:rPr>
          <w:rFonts w:hint="eastAsia" w:ascii="宋体" w:hAnsi="宋体"/>
          <w:szCs w:val="21"/>
        </w:rPr>
        <w:t>（九）主管部门依照法律、法规认定的其他情形。</w:t>
      </w:r>
    </w:p>
    <w:p>
      <w:pPr>
        <w:spacing w:line="360" w:lineRule="auto"/>
        <w:ind w:firstLine="422" w:firstLineChars="200"/>
        <w:rPr>
          <w:rFonts w:ascii="宋体" w:hAnsi="宋体"/>
          <w:b/>
          <w:szCs w:val="21"/>
        </w:rPr>
      </w:pPr>
      <w:r>
        <w:rPr>
          <w:rFonts w:hint="eastAsia" w:ascii="宋体" w:hAnsi="宋体"/>
          <w:b/>
          <w:szCs w:val="21"/>
        </w:rPr>
        <w:t>三、本公司已充分知悉下列情形所对应的法律风险，并在投标前已对相关风险事项进行排查。</w:t>
      </w:r>
    </w:p>
    <w:p>
      <w:pPr>
        <w:spacing w:line="360" w:lineRule="auto"/>
        <w:ind w:firstLine="420" w:firstLineChars="200"/>
        <w:rPr>
          <w:rFonts w:ascii="宋体" w:hAnsi="宋体"/>
          <w:b/>
          <w:szCs w:val="21"/>
        </w:rPr>
      </w:pPr>
      <w:r>
        <w:rPr>
          <w:rFonts w:hint="eastAsia" w:ascii="宋体" w:hAnsi="宋体"/>
          <w:szCs w:val="21"/>
        </w:rPr>
        <w:t>（一）对于从其他主体获取的投标资料，供应商应审慎核查，确保投标资料的真实性。</w:t>
      </w:r>
      <w:r>
        <w:rPr>
          <w:rFonts w:hint="eastAsia" w:ascii="宋体" w:hAnsi="宋体"/>
          <w:b/>
          <w:szCs w:val="21"/>
        </w:rPr>
        <w:t>如主管部门查实投标文件中存在虚假资料的，无论相关资料是否由第三方或本公司员工提供，均不影响主管部门对供应商存在“隐瞒真实情况，提供虚假资料”违法行为的认定。</w:t>
      </w:r>
    </w:p>
    <w:p>
      <w:pPr>
        <w:spacing w:line="360" w:lineRule="auto"/>
        <w:ind w:firstLine="420" w:firstLineChars="200"/>
        <w:rPr>
          <w:rFonts w:ascii="宋体" w:hAnsi="宋体"/>
          <w:szCs w:val="21"/>
        </w:rPr>
      </w:pPr>
      <w:r>
        <w:rPr>
          <w:rFonts w:hint="eastAsia" w:ascii="宋体" w:hAnsi="宋体"/>
          <w:szCs w:val="21"/>
        </w:rPr>
        <w:t>（二）对于涉及国家机关出具的公文、证件、证明材料等文件，一旦涉嫌虚假，经查实，主管部门将依法从严处理，并移送有关部门追究法律责任；涉嫌犯罪的，主管部门将一并移送司法机关追究法律责任。</w:t>
      </w:r>
    </w:p>
    <w:p>
      <w:pPr>
        <w:spacing w:line="360" w:lineRule="auto"/>
        <w:ind w:firstLine="420" w:firstLineChars="200"/>
        <w:rPr>
          <w:rFonts w:ascii="宋体" w:hAnsi="宋体"/>
          <w:szCs w:val="21"/>
        </w:rPr>
      </w:pPr>
      <w:r>
        <w:rPr>
          <w:rFonts w:hint="eastAsia" w:ascii="宋体" w:hAnsi="宋体"/>
          <w:szCs w:val="21"/>
        </w:rPr>
        <w:t>（三）对于涉及安全生产、特种作业、抢险救灾、防疫等政府采购项目，供应商实施提供虚假资料、串通投标等违法行为的，主管部门将依法从严处理。</w:t>
      </w:r>
    </w:p>
    <w:p>
      <w:pPr>
        <w:spacing w:line="360" w:lineRule="auto"/>
        <w:ind w:firstLine="420" w:firstLineChars="200"/>
        <w:rPr>
          <w:rFonts w:ascii="宋体" w:hAnsi="宋体"/>
          <w:szCs w:val="21"/>
        </w:rPr>
      </w:pPr>
      <w:r>
        <w:rPr>
          <w:rFonts w:hint="eastAsia" w:ascii="宋体" w:hAnsi="宋体"/>
          <w:szCs w:val="21"/>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pPr>
        <w:spacing w:line="360" w:lineRule="auto"/>
        <w:ind w:firstLine="420" w:firstLineChars="200"/>
        <w:rPr>
          <w:rFonts w:ascii="宋体" w:hAnsi="宋体"/>
          <w:szCs w:val="21"/>
        </w:rPr>
      </w:pPr>
      <w:r>
        <w:rPr>
          <w:rFonts w:hint="eastAsia" w:ascii="宋体" w:hAnsi="宋体"/>
          <w:szCs w:val="21"/>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360" w:lineRule="auto"/>
        <w:ind w:firstLine="420" w:firstLineChars="200"/>
        <w:rPr>
          <w:rFonts w:ascii="宋体" w:hAnsi="宋体"/>
          <w:szCs w:val="21"/>
        </w:rPr>
      </w:pPr>
      <w:r>
        <w:rPr>
          <w:rFonts w:hint="eastAsia" w:ascii="宋体" w:hAnsi="宋体"/>
          <w:szCs w:val="21"/>
        </w:rPr>
        <w:t>（六）单位负责人为同一人或者存在直接控股、管理关系的不同供应商，不得参加同一合同项下的政府采购活动。相关情形如查实，依法作投标无效处理；涉嫌串通投标等违法行为的，主管部门将依法调查处理。</w:t>
      </w:r>
    </w:p>
    <w:p>
      <w:pPr>
        <w:spacing w:line="360" w:lineRule="auto"/>
        <w:ind w:firstLine="422" w:firstLineChars="200"/>
        <w:rPr>
          <w:rFonts w:ascii="宋体" w:hAnsi="宋体"/>
          <w:szCs w:val="21"/>
        </w:rPr>
      </w:pPr>
      <w:r>
        <w:rPr>
          <w:rFonts w:hint="eastAsia" w:ascii="宋体" w:hAnsi="宋体"/>
          <w:b/>
          <w:szCs w:val="21"/>
        </w:rPr>
        <w:t>四、本公司已充分知悉政府采购违法、违规行为的法律后果。</w:t>
      </w:r>
      <w:r>
        <w:rPr>
          <w:rFonts w:hint="eastAsia" w:ascii="宋体" w:hAnsi="宋体"/>
          <w:szCs w:val="21"/>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360" w:lineRule="auto"/>
        <w:ind w:firstLine="422" w:firstLineChars="200"/>
        <w:rPr>
          <w:rFonts w:ascii="宋体" w:hAnsi="宋体"/>
          <w:b/>
          <w:szCs w:val="21"/>
        </w:rPr>
      </w:pPr>
      <w:r>
        <w:rPr>
          <w:rFonts w:hint="eastAsia" w:ascii="宋体" w:hAnsi="宋体"/>
          <w:b/>
          <w:szCs w:val="21"/>
        </w:rPr>
        <w:t>以下文字请投标供应商抄写并确认：“本公司已仔细阅读《政府采购违法行为风险知悉确认书》，充分知悉违法行为的法律后果，并承诺将严谨、诚信、依法依规参与政府采购活动”。</w:t>
      </w:r>
    </w:p>
    <w:p>
      <w:pPr>
        <w:spacing w:line="360" w:lineRule="auto"/>
        <w:ind w:firstLine="420" w:firstLineChars="200"/>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ind w:firstLine="420" w:firstLineChars="200"/>
        <w:rPr>
          <w:rFonts w:ascii="宋体" w:hAnsi="宋体"/>
          <w:szCs w:val="21"/>
          <w:u w:val="single"/>
        </w:rPr>
      </w:pPr>
    </w:p>
    <w:p>
      <w:pPr>
        <w:spacing w:line="360" w:lineRule="auto"/>
        <w:ind w:firstLine="420" w:firstLineChars="200"/>
        <w:rPr>
          <w:rFonts w:ascii="宋体" w:hAnsi="宋体"/>
          <w:szCs w:val="21"/>
        </w:rPr>
      </w:pPr>
      <w:r>
        <w:rPr>
          <w:rFonts w:hint="eastAsia" w:ascii="宋体" w:hAnsi="宋体"/>
          <w:szCs w:val="21"/>
        </w:rPr>
        <w:t>负责人</w:t>
      </w:r>
      <w:r>
        <w:rPr>
          <w:rFonts w:ascii="宋体" w:hAnsi="宋体"/>
          <w:szCs w:val="21"/>
        </w:rPr>
        <w:t>/</w:t>
      </w:r>
      <w:r>
        <w:rPr>
          <w:rFonts w:hint="eastAsia" w:ascii="宋体" w:hAnsi="宋体"/>
          <w:szCs w:val="21"/>
        </w:rPr>
        <w:t>投标授权代表签名：</w:t>
      </w:r>
    </w:p>
    <w:p>
      <w:pPr>
        <w:spacing w:line="360" w:lineRule="auto"/>
        <w:ind w:firstLine="420" w:firstLineChars="200"/>
        <w:rPr>
          <w:rFonts w:ascii="宋体" w:hAnsi="宋体"/>
          <w:szCs w:val="21"/>
        </w:rPr>
      </w:pPr>
      <w:r>
        <w:rPr>
          <w:rFonts w:hint="eastAsia" w:ascii="宋体" w:hAnsi="宋体"/>
          <w:szCs w:val="21"/>
        </w:rPr>
        <w:t>知悉人（公章）：</w:t>
      </w:r>
    </w:p>
    <w:p>
      <w:pPr>
        <w:spacing w:line="360" w:lineRule="auto"/>
        <w:ind w:firstLine="420" w:firstLineChars="200"/>
        <w:rPr>
          <w:rFonts w:ascii="宋体" w:hAnsi="宋体"/>
          <w:szCs w:val="21"/>
        </w:rPr>
      </w:pPr>
      <w:r>
        <w:rPr>
          <w:rFonts w:hint="eastAsia" w:ascii="宋体" w:hAnsi="宋体"/>
          <w:szCs w:val="21"/>
        </w:rPr>
        <w:t>日期：</w:t>
      </w:r>
    </w:p>
    <w:p>
      <w:pPr>
        <w:spacing w:line="360" w:lineRule="auto"/>
        <w:ind w:firstLine="420" w:firstLineChars="200"/>
        <w:rPr>
          <w:szCs w:val="21"/>
        </w:rPr>
      </w:pPr>
    </w:p>
    <w:p/>
    <w:p/>
    <w:p/>
    <w:p/>
    <w:p/>
    <w:p/>
    <w:p/>
    <w:p/>
    <w:p/>
    <w:p/>
    <w:p/>
    <w:p/>
    <w:p>
      <w:pPr>
        <w:pStyle w:val="4"/>
        <w:spacing w:line="400" w:lineRule="exact"/>
        <w:rPr>
          <w:rFonts w:ascii="仿宋" w:hAnsi="仿宋" w:eastAsia="仿宋"/>
        </w:rPr>
      </w:pPr>
      <w:bookmarkStart w:id="50" w:name="_Toc135293181"/>
      <w:r>
        <w:rPr>
          <w:rFonts w:hint="eastAsia" w:ascii="仿宋" w:hAnsi="仿宋" w:eastAsia="仿宋"/>
        </w:rPr>
        <w:t>评标指引表</w:t>
      </w:r>
      <w:bookmarkEnd w:id="49"/>
      <w:bookmarkEnd w:id="50"/>
    </w:p>
    <w:p>
      <w:pPr>
        <w:jc w:val="center"/>
        <w:rPr>
          <w:b/>
          <w:szCs w:val="21"/>
        </w:rPr>
      </w:pPr>
    </w:p>
    <w:p>
      <w:pPr>
        <w:spacing w:line="360" w:lineRule="auto"/>
        <w:ind w:firstLine="420" w:firstLineChars="200"/>
        <w:rPr>
          <w:szCs w:val="21"/>
        </w:rPr>
      </w:pPr>
      <w:r>
        <w:rPr>
          <w:rFonts w:hint="eastAsia" w:ascii="宋体" w:hAnsi="宋体"/>
          <w:szCs w:val="21"/>
        </w:rPr>
        <w:t>为方便参与该项目的评委专家的评标，快速找到评标事项与该项目投标文件所对应的位置，请投标人参照下表格式，编制本项目评标指引表。</w:t>
      </w:r>
    </w:p>
    <w:p>
      <w:pPr>
        <w:spacing w:line="360" w:lineRule="exact"/>
        <w:rPr>
          <w:b/>
          <w:szCs w:val="21"/>
        </w:rPr>
      </w:pPr>
      <w:r>
        <w:rPr>
          <w:b/>
          <w:szCs w:val="21"/>
        </w:rPr>
        <w:t xml:space="preserve"> </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4854"/>
        <w:gridCol w:w="2169"/>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52"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一、综合评分指引（评分内容见第四章  评标方法和标准）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评分类别</w:t>
            </w:r>
          </w:p>
        </w:tc>
        <w:tc>
          <w:tcPr>
            <w:tcW w:w="4854"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评分内容</w:t>
            </w:r>
          </w:p>
        </w:tc>
        <w:tc>
          <w:tcPr>
            <w:tcW w:w="2169" w:type="dxa"/>
            <w:vAlign w:val="center"/>
          </w:tcPr>
          <w:p>
            <w:pPr>
              <w:spacing w:line="360" w:lineRule="exact"/>
              <w:jc w:val="center"/>
              <w:rPr>
                <w:rFonts w:ascii="宋体" w:hAnsi="宋体"/>
                <w:szCs w:val="21"/>
              </w:rPr>
            </w:pPr>
            <w:r>
              <w:rPr>
                <w:rFonts w:hint="eastAsia" w:ascii="宋体" w:hAnsi="宋体"/>
                <w:szCs w:val="21"/>
              </w:rPr>
              <w:t>证明文件起止页码</w:t>
            </w:r>
          </w:p>
        </w:tc>
        <w:tc>
          <w:tcPr>
            <w:tcW w:w="1472" w:type="dxa"/>
            <w:vAlign w:val="center"/>
          </w:tcPr>
          <w:p>
            <w:pPr>
              <w:spacing w:line="36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价格部分</w:t>
            </w:r>
          </w:p>
        </w:tc>
        <w:tc>
          <w:tcPr>
            <w:tcW w:w="4854" w:type="dxa"/>
            <w:vAlign w:val="center"/>
          </w:tcPr>
          <w:p>
            <w:pPr>
              <w:rPr>
                <w:rFonts w:asciiTheme="minorEastAsia" w:hAnsiTheme="minorEastAsia" w:eastAsiaTheme="minorEastAsia"/>
              </w:rPr>
            </w:pPr>
            <w:r>
              <w:rPr>
                <w:rFonts w:hint="eastAsia" w:asciiTheme="minorEastAsia" w:hAnsiTheme="minorEastAsia" w:eastAsiaTheme="minorEastAsia"/>
                <w:snapToGrid w:val="0"/>
                <w:kern w:val="0"/>
                <w:szCs w:val="21"/>
              </w:rPr>
              <w:t>小型企业、微型企业、监狱企业、残疾人福利性单位证明文件</w:t>
            </w:r>
            <w:r>
              <w:rPr>
                <w:rFonts w:hint="eastAsia" w:asciiTheme="minorEastAsia" w:hAnsiTheme="minorEastAsia" w:eastAsiaTheme="minorEastAsia"/>
                <w:szCs w:val="21"/>
              </w:rPr>
              <w:t>，详见“第四章  评标方法和标准”政府采购扶持政策</w:t>
            </w:r>
            <w:r>
              <w:rPr>
                <w:rFonts w:hint="eastAsia" w:asciiTheme="minorEastAsia" w:hAnsiTheme="minorEastAsia" w:eastAsiaTheme="minorEastAsia"/>
                <w:bCs/>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技术部分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商务部分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52"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二、其他评标指引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其他资料</w:t>
            </w:r>
          </w:p>
        </w:tc>
        <w:tc>
          <w:tcPr>
            <w:tcW w:w="4854" w:type="dxa"/>
            <w:vAlign w:val="center"/>
          </w:tcPr>
          <w:p>
            <w:pPr>
              <w:rPr>
                <w:rFonts w:asciiTheme="minorEastAsia" w:hAnsiTheme="minorEastAsia" w:eastAsiaTheme="minorEastAsia"/>
              </w:rPr>
            </w:pPr>
            <w:r>
              <w:rPr>
                <w:rFonts w:hint="eastAsia" w:asciiTheme="minorEastAsia" w:hAnsiTheme="minorEastAsia" w:eastAsiaTheme="minorEastAsia"/>
                <w:color w:val="FF0000"/>
                <w:kern w:val="0"/>
                <w:szCs w:val="21"/>
              </w:rPr>
              <w:t>投标单位法定代表人、主要经营负责人、项目投标授权代表人、项目负责人及主要技术人员近一年社保缴纳查询记录（包含在投标单位及其他缴纳社保单位的记录）；社保缴纳不满一年的按实际缴纳情况提供。</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bl>
    <w:p>
      <w:pPr>
        <w:spacing w:line="360" w:lineRule="exact"/>
        <w:rPr>
          <w:b/>
          <w:szCs w:val="21"/>
        </w:rPr>
      </w:pPr>
    </w:p>
    <w:p>
      <w:pPr>
        <w:pStyle w:val="26"/>
        <w:spacing w:line="360" w:lineRule="auto"/>
        <w:ind w:firstLine="424" w:firstLineChars="201"/>
        <w:rPr>
          <w:b/>
        </w:rPr>
      </w:pPr>
      <w:r>
        <w:rPr>
          <w:rFonts w:hint="eastAsia" w:hAnsi="宋体"/>
          <w:b/>
          <w:szCs w:val="21"/>
        </w:rPr>
        <w:t>注：请投标人按照招标文件规定的审查和评分内容，自上而下的顺序填写本表</w:t>
      </w:r>
      <w:r>
        <w:rPr>
          <w:rFonts w:hint="eastAsia"/>
          <w:b/>
          <w:szCs w:val="21"/>
        </w:rPr>
        <w:t>。因项目次序混乱而影响评标结果者，投标人自负其责。</w:t>
      </w:r>
    </w:p>
    <w:p>
      <w:pPr>
        <w:jc w:val="center"/>
      </w:pPr>
    </w:p>
    <w:p/>
    <w:p/>
    <w:p/>
    <w:p/>
    <w:p/>
    <w:p/>
    <w:p/>
    <w:p/>
    <w:p>
      <w:pPr>
        <w:pStyle w:val="3"/>
        <w:tabs>
          <w:tab w:val="left" w:pos="371"/>
        </w:tabs>
        <w:spacing w:before="120" w:after="120"/>
        <w:ind w:left="-1" w:leftChars="-1" w:hanging="1"/>
        <w:jc w:val="center"/>
        <w:rPr>
          <w:rFonts w:asciiTheme="minorEastAsia" w:hAnsiTheme="minorEastAsia" w:eastAsiaTheme="minorEastAsia"/>
          <w:snapToGrid w:val="0"/>
          <w:kern w:val="0"/>
        </w:rPr>
      </w:pPr>
      <w:bookmarkStart w:id="51" w:name="_Toc44691396"/>
      <w:bookmarkStart w:id="52" w:name="_Toc44691164"/>
      <w:bookmarkStart w:id="53" w:name="_Toc135293182"/>
      <w:bookmarkStart w:id="54" w:name="_Toc44690432"/>
      <w:bookmarkStart w:id="55" w:name="_Toc44690705"/>
      <w:r>
        <w:rPr>
          <w:rFonts w:hint="eastAsia" w:asciiTheme="minorEastAsia" w:hAnsiTheme="minorEastAsia" w:eastAsiaTheme="minorEastAsia"/>
        </w:rPr>
        <w:t>格式1  投标人资格证明文件</w:t>
      </w:r>
      <w:bookmarkEnd w:id="51"/>
      <w:bookmarkEnd w:id="52"/>
      <w:bookmarkEnd w:id="53"/>
      <w:bookmarkEnd w:id="54"/>
      <w:bookmarkEnd w:id="55"/>
    </w:p>
    <w:p>
      <w:pPr>
        <w:adjustRightInd w:val="0"/>
        <w:snapToGrid w:val="0"/>
        <w:spacing w:line="360" w:lineRule="auto"/>
        <w:rPr>
          <w:rFonts w:ascii="宋体" w:hAnsi="宋体"/>
          <w:bCs/>
          <w:snapToGrid w:val="0"/>
          <w:kern w:val="0"/>
          <w:szCs w:val="21"/>
        </w:rPr>
      </w:pPr>
    </w:p>
    <w:p>
      <w:pPr>
        <w:adjustRightInd w:val="0"/>
        <w:snapToGrid w:val="0"/>
        <w:spacing w:line="360" w:lineRule="auto"/>
        <w:ind w:firstLine="424" w:firstLineChars="202"/>
        <w:rPr>
          <w:rFonts w:ascii="宋体" w:hAnsi="宋体"/>
          <w:bCs/>
          <w:snapToGrid w:val="0"/>
          <w:kern w:val="0"/>
          <w:szCs w:val="21"/>
        </w:rPr>
      </w:pPr>
      <w:r>
        <w:rPr>
          <w:rFonts w:hint="eastAsia" w:ascii="宋体" w:hAnsi="宋体"/>
          <w:bCs/>
          <w:snapToGrid w:val="0"/>
          <w:kern w:val="0"/>
          <w:szCs w:val="21"/>
        </w:rPr>
        <w:t>1、</w:t>
      </w:r>
      <w:r>
        <w:rPr>
          <w:rFonts w:ascii="宋体" w:hAnsi="宋体"/>
          <w:bCs/>
          <w:snapToGrid w:val="0"/>
          <w:kern w:val="0"/>
          <w:szCs w:val="21"/>
        </w:rPr>
        <w:t>营业执照</w:t>
      </w:r>
      <w:r>
        <w:rPr>
          <w:rFonts w:hint="eastAsia" w:ascii="宋体" w:hAnsi="宋体"/>
          <w:bCs/>
          <w:snapToGrid w:val="0"/>
          <w:kern w:val="0"/>
          <w:szCs w:val="21"/>
        </w:rPr>
        <w:t>或法人证书</w:t>
      </w:r>
      <w:r>
        <w:rPr>
          <w:rFonts w:hint="eastAsia" w:hAnsi="宋体"/>
          <w:szCs w:val="21"/>
        </w:rPr>
        <w:t>等证明材料</w:t>
      </w:r>
      <w:r>
        <w:rPr>
          <w:rFonts w:hint="eastAsia" w:ascii="宋体" w:hAnsi="宋体"/>
          <w:bCs/>
          <w:snapToGrid w:val="0"/>
          <w:kern w:val="0"/>
          <w:szCs w:val="21"/>
        </w:rPr>
        <w:t>（复印件或扫描件）</w:t>
      </w:r>
    </w:p>
    <w:p>
      <w:pPr>
        <w:adjustRightInd w:val="0"/>
        <w:snapToGrid w:val="0"/>
        <w:spacing w:line="360" w:lineRule="auto"/>
        <w:ind w:firstLine="424" w:firstLineChars="202"/>
        <w:rPr>
          <w:rFonts w:ascii="宋体" w:hAnsi="宋体"/>
        </w:rPr>
      </w:pPr>
      <w:r>
        <w:rPr>
          <w:rFonts w:hint="eastAsia" w:ascii="宋体" w:hAnsi="宋体"/>
          <w:bCs/>
          <w:snapToGrid w:val="0"/>
          <w:kern w:val="0"/>
          <w:szCs w:val="21"/>
        </w:rPr>
        <w:t>2、</w:t>
      </w:r>
      <w:r>
        <w:rPr>
          <w:rFonts w:hint="eastAsia"/>
          <w:szCs w:val="21"/>
        </w:rPr>
        <w:t>政府采购投标及履约承诺函</w:t>
      </w:r>
    </w:p>
    <w:p>
      <w:pPr>
        <w:adjustRightInd w:val="0"/>
        <w:snapToGrid w:val="0"/>
        <w:spacing w:line="360" w:lineRule="auto"/>
        <w:ind w:firstLine="424" w:firstLineChars="202"/>
        <w:rPr>
          <w:rFonts w:ascii="宋体" w:hAnsi="宋体"/>
        </w:rPr>
      </w:pPr>
      <w:r>
        <w:rPr>
          <w:rFonts w:hint="eastAsia" w:ascii="宋体" w:hAnsi="宋体"/>
        </w:rPr>
        <w:t>3、中小企业声明函或残疾人福利性单位声明函或监狱企业声明函</w:t>
      </w:r>
    </w:p>
    <w:p>
      <w:pPr>
        <w:adjustRightInd w:val="0"/>
        <w:snapToGrid w:val="0"/>
        <w:spacing w:line="360" w:lineRule="auto"/>
        <w:ind w:firstLine="424" w:firstLineChars="202"/>
        <w:rPr>
          <w:rFonts w:ascii="宋体" w:hAnsi="宋体"/>
        </w:rPr>
      </w:pPr>
      <w:r>
        <w:rPr>
          <w:rFonts w:hint="eastAsia" w:ascii="宋体" w:hAnsi="宋体"/>
        </w:rPr>
        <w:t>4、其它资格证明材料（如有，按第一章投标邀请“申请人的资格要求”提供）</w:t>
      </w:r>
    </w:p>
    <w:p>
      <w:pPr>
        <w:adjustRightInd w:val="0"/>
        <w:snapToGrid w:val="0"/>
        <w:spacing w:line="360" w:lineRule="auto"/>
        <w:ind w:firstLine="424" w:firstLineChars="202"/>
        <w:rPr>
          <w:rFonts w:ascii="宋体" w:hAnsi="宋体"/>
          <w:bCs/>
          <w:snapToGrid w:val="0"/>
          <w:kern w:val="0"/>
        </w:rPr>
      </w:pPr>
    </w:p>
    <w:p>
      <w:pPr>
        <w:adjustRightInd w:val="0"/>
        <w:snapToGrid w:val="0"/>
        <w:spacing w:line="360" w:lineRule="auto"/>
        <w:ind w:firstLine="426" w:firstLineChars="202"/>
        <w:rPr>
          <w:rFonts w:ascii="楷体_GB2312" w:eastAsia="楷体_GB2312"/>
          <w:b/>
          <w:bCs/>
          <w:snapToGrid w:val="0"/>
          <w:kern w:val="0"/>
          <w:szCs w:val="21"/>
        </w:rPr>
      </w:pPr>
      <w:r>
        <w:rPr>
          <w:rFonts w:hint="eastAsia" w:ascii="楷体_GB2312" w:eastAsia="楷体_GB2312"/>
          <w:b/>
          <w:bCs/>
          <w:snapToGrid w:val="0"/>
          <w:kern w:val="0"/>
          <w:szCs w:val="21"/>
        </w:rPr>
        <w:t>注：投标人提供的以上资料若为复印件或扫描件需加盖公章</w:t>
      </w:r>
    </w:p>
    <w:p>
      <w:pPr>
        <w:adjustRightInd w:val="0"/>
        <w:snapToGrid w:val="0"/>
        <w:spacing w:line="300" w:lineRule="auto"/>
        <w:jc w:val="right"/>
        <w:rPr>
          <w:snapToGrid w:val="0"/>
          <w:kern w:val="0"/>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tabs>
          <w:tab w:val="left" w:pos="555"/>
        </w:tabs>
        <w:adjustRightInd w:val="0"/>
        <w:snapToGrid w:val="0"/>
        <w:spacing w:line="300" w:lineRule="auto"/>
        <w:rPr>
          <w:b/>
          <w:snapToGrid w:val="0"/>
          <w:sz w:val="32"/>
          <w:szCs w:val="32"/>
        </w:rPr>
      </w:pPr>
      <w:r>
        <w:rPr>
          <w:b/>
          <w:snapToGrid w:val="0"/>
          <w:sz w:val="32"/>
          <w:szCs w:val="32"/>
        </w:rPr>
        <w:tab/>
      </w: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pPr>
      <w:r>
        <w:rPr>
          <w:rFonts w:hint="eastAsia"/>
          <w:b/>
          <w:snapToGrid w:val="0"/>
          <w:kern w:val="0"/>
          <w:sz w:val="28"/>
        </w:rPr>
        <w:t>政府采购投标及履约承诺函</w:t>
      </w:r>
    </w:p>
    <w:p>
      <w:pPr>
        <w:spacing w:line="400" w:lineRule="exact"/>
        <w:rPr>
          <w:rFonts w:ascii="宋体" w:hAnsi="宋体" w:cs="Courier New"/>
          <w:snapToGrid w:val="0"/>
          <w:szCs w:val="18"/>
        </w:rPr>
      </w:pPr>
      <w:r>
        <w:rPr>
          <w:rFonts w:hint="eastAsia" w:ascii="宋体" w:hAnsi="宋体" w:cs="Courier New"/>
          <w:snapToGrid w:val="0"/>
          <w:szCs w:val="18"/>
        </w:rPr>
        <w:t>深圳市中正招标有限公司：</w:t>
      </w:r>
    </w:p>
    <w:p>
      <w:pPr>
        <w:spacing w:line="400" w:lineRule="exact"/>
        <w:ind w:firstLine="420" w:firstLineChars="200"/>
        <w:rPr>
          <w:rFonts w:ascii="宋体" w:hAnsi="宋体" w:cs="Courier New"/>
          <w:snapToGrid w:val="0"/>
          <w:szCs w:val="18"/>
        </w:rPr>
      </w:pPr>
      <w:r>
        <w:rPr>
          <w:rFonts w:hint="eastAsia" w:ascii="宋体" w:hAnsi="宋体" w:cs="Courier New"/>
          <w:snapToGrid w:val="0"/>
          <w:szCs w:val="18"/>
        </w:rPr>
        <w:t>我单位承诺：</w:t>
      </w:r>
    </w:p>
    <w:p>
      <w:pPr>
        <w:spacing w:line="400" w:lineRule="exact"/>
        <w:ind w:firstLine="420" w:firstLineChars="200"/>
        <w:rPr>
          <w:rFonts w:ascii="宋体" w:hAnsi="宋体"/>
          <w:szCs w:val="21"/>
        </w:rPr>
      </w:pPr>
      <w:r>
        <w:rPr>
          <w:rFonts w:hint="eastAsia" w:ascii="宋体" w:hAnsi="宋体"/>
          <w:szCs w:val="21"/>
        </w:rPr>
        <w:t>1.我单位满足《中华人民共和国政府采购法》第二十二条规定的下列条件：</w:t>
      </w:r>
    </w:p>
    <w:p>
      <w:pPr>
        <w:spacing w:line="400" w:lineRule="exact"/>
        <w:ind w:firstLine="420" w:firstLineChars="200"/>
        <w:rPr>
          <w:rFonts w:ascii="宋体" w:hAnsi="宋体"/>
          <w:szCs w:val="21"/>
        </w:rPr>
      </w:pPr>
      <w:r>
        <w:rPr>
          <w:rFonts w:hint="eastAsia" w:ascii="宋体" w:hAnsi="宋体"/>
          <w:szCs w:val="21"/>
        </w:rPr>
        <w:t>（一）具有独立承担民事责任的能力；</w:t>
      </w:r>
    </w:p>
    <w:p>
      <w:pPr>
        <w:spacing w:line="400" w:lineRule="exact"/>
        <w:ind w:firstLine="420" w:firstLineChars="200"/>
        <w:rPr>
          <w:rFonts w:ascii="宋体" w:hAnsi="宋体"/>
          <w:szCs w:val="21"/>
        </w:rPr>
      </w:pPr>
      <w:r>
        <w:rPr>
          <w:rFonts w:hint="eastAsia" w:ascii="宋体" w:hAnsi="宋体"/>
          <w:szCs w:val="21"/>
        </w:rPr>
        <w:t>（二）具有良好的商业信誉和健全的财务会计制度；</w:t>
      </w:r>
    </w:p>
    <w:p>
      <w:pPr>
        <w:spacing w:line="400" w:lineRule="exact"/>
        <w:ind w:firstLine="420" w:firstLineChars="200"/>
        <w:rPr>
          <w:rFonts w:ascii="宋体" w:hAnsi="宋体"/>
          <w:szCs w:val="21"/>
        </w:rPr>
      </w:pPr>
      <w:r>
        <w:rPr>
          <w:rFonts w:hint="eastAsia" w:ascii="宋体" w:hAnsi="宋体"/>
          <w:szCs w:val="21"/>
        </w:rPr>
        <w:t>（三）具有履行合同所必需的设备和专业技术能力；</w:t>
      </w:r>
    </w:p>
    <w:p>
      <w:pPr>
        <w:spacing w:line="400" w:lineRule="exact"/>
        <w:ind w:firstLine="420" w:firstLineChars="200"/>
        <w:rPr>
          <w:rFonts w:ascii="宋体" w:hAnsi="宋体"/>
          <w:szCs w:val="21"/>
        </w:rPr>
      </w:pPr>
      <w:r>
        <w:rPr>
          <w:rFonts w:hint="eastAsia" w:ascii="宋体" w:hAnsi="宋体"/>
          <w:szCs w:val="21"/>
        </w:rPr>
        <w:t>（四）有依法缴纳税收和社会保障资金的良好记录；</w:t>
      </w:r>
    </w:p>
    <w:p>
      <w:pPr>
        <w:spacing w:line="400" w:lineRule="exact"/>
        <w:ind w:firstLine="420" w:firstLineChars="200"/>
        <w:rPr>
          <w:rFonts w:ascii="宋体" w:hAnsi="宋体"/>
          <w:szCs w:val="21"/>
        </w:rPr>
      </w:pPr>
      <w:r>
        <w:rPr>
          <w:rFonts w:hint="eastAsia" w:ascii="宋体" w:hAnsi="宋体"/>
          <w:szCs w:val="21"/>
        </w:rPr>
        <w:t>（五）参加政府采购活动前三年内，在经营活动中没有重大违法记录；</w:t>
      </w:r>
    </w:p>
    <w:p>
      <w:pPr>
        <w:spacing w:line="400" w:lineRule="exact"/>
        <w:ind w:firstLine="420" w:firstLineChars="200"/>
        <w:rPr>
          <w:rFonts w:ascii="宋体" w:hAnsi="宋体"/>
          <w:szCs w:val="21"/>
        </w:rPr>
      </w:pPr>
      <w:r>
        <w:rPr>
          <w:rFonts w:hint="eastAsia" w:ascii="宋体" w:hAnsi="宋体"/>
          <w:szCs w:val="21"/>
        </w:rPr>
        <w:t>（六）法律、行政法规规定的其他条件。</w:t>
      </w:r>
    </w:p>
    <w:p>
      <w:pPr>
        <w:spacing w:line="400" w:lineRule="exact"/>
        <w:ind w:firstLine="420" w:firstLineChars="200"/>
        <w:rPr>
          <w:rFonts w:ascii="宋体" w:hAnsi="宋体"/>
          <w:szCs w:val="21"/>
        </w:rPr>
      </w:pPr>
      <w:r>
        <w:rPr>
          <w:rFonts w:hint="eastAsia" w:ascii="宋体" w:hAnsi="宋体"/>
          <w:szCs w:val="21"/>
        </w:rPr>
        <w:t>2.我单位参与本项目采购活动前三年内，在经营活动中没有重大违法记录，包括</w:t>
      </w:r>
      <w:r>
        <w:rPr>
          <w:szCs w:val="21"/>
        </w:rPr>
        <w:t>因违法经营受到刑事处罚或者责令停产停业、吊销许可证或者执照、较大数额罚款等行政处罚</w:t>
      </w:r>
      <w:r>
        <w:rPr>
          <w:rFonts w:hint="eastAsia" w:ascii="宋体" w:hAnsi="宋体"/>
          <w:szCs w:val="21"/>
        </w:rPr>
        <w:t>。</w:t>
      </w:r>
    </w:p>
    <w:p>
      <w:pPr>
        <w:spacing w:line="400" w:lineRule="exact"/>
        <w:ind w:firstLine="420" w:firstLineChars="200"/>
        <w:rPr>
          <w:rFonts w:ascii="宋体" w:hAnsi="宋体"/>
          <w:szCs w:val="21"/>
        </w:rPr>
      </w:pPr>
      <w:r>
        <w:rPr>
          <w:rFonts w:hint="eastAsia" w:ascii="宋体" w:hAnsi="宋体"/>
          <w:szCs w:val="21"/>
        </w:rPr>
        <w:t>3.我单位参与本项目</w:t>
      </w:r>
      <w:r>
        <w:rPr>
          <w:rFonts w:hint="eastAsia"/>
        </w:rPr>
        <w:t>政府采购活动时不存在被有关部门禁止参与政府采购活动且在有效期内的情况；</w:t>
      </w:r>
      <w:r>
        <w:rPr>
          <w:rFonts w:hint="eastAsia" w:ascii="宋体" w:hAnsi="宋体" w:cs="Courier New"/>
          <w:snapToGrid w:val="0"/>
          <w:szCs w:val="18"/>
        </w:rPr>
        <w:t>与其他投标供应商不存在“单位负责人为同一人或者存在直接控股、管理关系”的情况；</w:t>
      </w:r>
      <w:r>
        <w:rPr>
          <w:rFonts w:hint="eastAsia" w:asciiTheme="minorEastAsia" w:hAnsiTheme="minorEastAsia" w:eastAsiaTheme="minorEastAsia"/>
          <w:snapToGrid w:val="0"/>
        </w:rPr>
        <w:t>除单一来源采购项目外，为采购项目提供整体设计、规范编制或者项目管理、监理、检测等服务的供应商，不得再参加该采购项目的其他采购活动</w:t>
      </w:r>
      <w:r>
        <w:rPr>
          <w:rFonts w:hint="eastAsia"/>
        </w:rPr>
        <w:t>。</w:t>
      </w:r>
    </w:p>
    <w:p>
      <w:pPr>
        <w:spacing w:line="400" w:lineRule="exact"/>
        <w:ind w:firstLine="420" w:firstLineChars="200"/>
        <w:rPr>
          <w:rFonts w:ascii="宋体" w:hAnsi="宋体"/>
          <w:szCs w:val="21"/>
        </w:rPr>
      </w:pPr>
      <w:r>
        <w:rPr>
          <w:rFonts w:hint="eastAsia" w:ascii="宋体" w:hAnsi="宋体"/>
          <w:szCs w:val="21"/>
        </w:rPr>
        <w:t>4.我单位承诺非</w:t>
      </w:r>
      <w:r>
        <w:rPr>
          <w:rFonts w:hint="eastAsia" w:asciiTheme="minorEastAsia" w:hAnsiTheme="minorEastAsia" w:eastAsiaTheme="minorEastAsia"/>
          <w:snapToGrid w:val="0"/>
        </w:rPr>
        <w:t>联合体投标，</w:t>
      </w:r>
      <w:r>
        <w:rPr>
          <w:rFonts w:hint="eastAsia" w:ascii="宋体" w:hAnsi="宋体"/>
          <w:szCs w:val="21"/>
        </w:rPr>
        <w:t>不非法转包或分包。</w:t>
      </w:r>
    </w:p>
    <w:p>
      <w:pPr>
        <w:spacing w:line="400" w:lineRule="exact"/>
        <w:ind w:firstLine="420" w:firstLineChars="200"/>
        <w:rPr>
          <w:rFonts w:ascii="宋体" w:hAnsi="宋体"/>
          <w:szCs w:val="21"/>
        </w:rPr>
      </w:pPr>
      <w:r>
        <w:rPr>
          <w:rFonts w:hint="eastAsia" w:ascii="宋体" w:hAnsi="宋体"/>
          <w:szCs w:val="21"/>
        </w:rPr>
        <w:t>5.我单位本招标项目所提供的货物或服务未侵犯知识产权。</w:t>
      </w:r>
    </w:p>
    <w:p>
      <w:pPr>
        <w:spacing w:line="400" w:lineRule="exact"/>
        <w:ind w:firstLine="420" w:firstLineChars="200"/>
        <w:rPr>
          <w:rFonts w:ascii="宋体" w:hAnsi="宋体"/>
          <w:szCs w:val="21"/>
        </w:rPr>
      </w:pPr>
      <w:r>
        <w:rPr>
          <w:rFonts w:hint="eastAsia" w:ascii="宋体" w:hAnsi="宋体"/>
          <w:szCs w:val="21"/>
        </w:rPr>
        <w:t>6. 我单位参与该项目投标，严格遵循公平竞争的原则，不妨碍其他投标人的竞争行为，不损害采购人或者其他投标人的合法权益，与其他采购参加人不存在下列串通投标情形：</w:t>
      </w:r>
    </w:p>
    <w:p>
      <w:pPr>
        <w:spacing w:line="400" w:lineRule="exact"/>
        <w:ind w:firstLine="420" w:firstLineChars="200"/>
        <w:rPr>
          <w:rFonts w:ascii="宋体" w:hAnsi="宋体"/>
          <w:szCs w:val="21"/>
        </w:rPr>
      </w:pPr>
      <w:r>
        <w:rPr>
          <w:rFonts w:hint="eastAsia" w:ascii="宋体" w:hAnsi="宋体"/>
          <w:szCs w:val="21"/>
        </w:rPr>
        <w:t>（1）投标供应商之间相互约定给予未中标的供应商利益补偿；</w:t>
      </w:r>
    </w:p>
    <w:p>
      <w:pPr>
        <w:spacing w:line="400" w:lineRule="exact"/>
        <w:ind w:firstLine="420" w:firstLineChars="200"/>
        <w:rPr>
          <w:rFonts w:ascii="宋体" w:hAnsi="宋体"/>
          <w:szCs w:val="21"/>
        </w:rPr>
      </w:pPr>
      <w:r>
        <w:rPr>
          <w:rFonts w:hint="eastAsia" w:ascii="宋体" w:hAnsi="宋体"/>
          <w:szCs w:val="21"/>
        </w:rPr>
        <w:t>（2）不同投标供应商的法定代表人、主要经营负责人、项目投标授权代表人、项目负责人、主要技术人员为同一人、属同一单位或者在同一单位缴纳社会保险；</w:t>
      </w:r>
    </w:p>
    <w:p>
      <w:pPr>
        <w:spacing w:line="400" w:lineRule="exact"/>
        <w:ind w:firstLine="420" w:firstLineChars="200"/>
        <w:rPr>
          <w:rFonts w:ascii="宋体" w:hAnsi="宋体"/>
          <w:szCs w:val="21"/>
        </w:rPr>
      </w:pPr>
      <w:r>
        <w:rPr>
          <w:rFonts w:hint="eastAsia" w:ascii="宋体" w:hAnsi="宋体"/>
          <w:szCs w:val="21"/>
        </w:rPr>
        <w:t>（3）不同投标供应商的投标文件由同一单位或者同一人编制，或者由同一人分阶段参与编制的；</w:t>
      </w:r>
    </w:p>
    <w:p>
      <w:pPr>
        <w:spacing w:line="400" w:lineRule="exact"/>
        <w:ind w:firstLine="420" w:firstLineChars="200"/>
        <w:rPr>
          <w:rFonts w:ascii="宋体" w:hAnsi="宋体"/>
          <w:szCs w:val="21"/>
        </w:rPr>
      </w:pPr>
      <w:r>
        <w:rPr>
          <w:rFonts w:hint="eastAsia" w:ascii="宋体" w:hAnsi="宋体"/>
          <w:szCs w:val="21"/>
        </w:rPr>
        <w:t>（4）不同投标供应商的投标文件或部分投标文件相互混装；</w:t>
      </w:r>
    </w:p>
    <w:p>
      <w:pPr>
        <w:spacing w:line="400" w:lineRule="exact"/>
        <w:ind w:firstLine="420" w:firstLineChars="200"/>
        <w:rPr>
          <w:rFonts w:ascii="宋体" w:hAnsi="宋体"/>
          <w:szCs w:val="21"/>
        </w:rPr>
      </w:pPr>
      <w:r>
        <w:rPr>
          <w:rFonts w:hint="eastAsia" w:ascii="宋体" w:hAnsi="宋体"/>
          <w:szCs w:val="21"/>
        </w:rPr>
        <w:t>（5）不同投标供应商的投标文件内容存在非正常一致；</w:t>
      </w:r>
    </w:p>
    <w:p>
      <w:pPr>
        <w:spacing w:line="400" w:lineRule="exact"/>
        <w:ind w:firstLine="420" w:firstLineChars="200"/>
        <w:rPr>
          <w:rFonts w:ascii="宋体" w:hAnsi="宋体"/>
          <w:szCs w:val="21"/>
        </w:rPr>
      </w:pPr>
      <w:r>
        <w:rPr>
          <w:rFonts w:hint="eastAsia" w:ascii="宋体" w:hAnsi="宋体"/>
          <w:szCs w:val="21"/>
        </w:rPr>
        <w:t>（6）由同一单位工作人员为两家以上（含两家）供应商进行同一项投标活动的；</w:t>
      </w:r>
    </w:p>
    <w:p>
      <w:pPr>
        <w:spacing w:line="400" w:lineRule="exact"/>
        <w:ind w:firstLine="420" w:firstLineChars="200"/>
        <w:rPr>
          <w:rFonts w:ascii="宋体" w:hAnsi="宋体"/>
          <w:szCs w:val="21"/>
        </w:rPr>
      </w:pPr>
      <w:r>
        <w:rPr>
          <w:rFonts w:hint="eastAsia" w:ascii="宋体" w:hAnsi="宋体"/>
          <w:szCs w:val="21"/>
        </w:rPr>
        <w:t>（7）主管部门依照法律、法规认定的其他情形。</w:t>
      </w:r>
    </w:p>
    <w:p>
      <w:pPr>
        <w:spacing w:line="400" w:lineRule="exact"/>
        <w:ind w:firstLine="420" w:firstLineChars="200"/>
        <w:rPr>
          <w:rFonts w:ascii="宋体" w:hAnsi="宋体"/>
          <w:szCs w:val="21"/>
        </w:rPr>
      </w:pPr>
      <w:r>
        <w:rPr>
          <w:rFonts w:hint="eastAsia" w:ascii="宋体" w:hAnsi="宋体"/>
          <w:szCs w:val="21"/>
        </w:rPr>
        <w:t>7.我单位如果中标，做到守信，不偷工减料，依照本项目招标文件需求内容、签署的采购合同及本单位在投标中所作的一切承诺履约。</w:t>
      </w:r>
    </w:p>
    <w:p>
      <w:pPr>
        <w:spacing w:line="400" w:lineRule="exact"/>
        <w:ind w:firstLine="420" w:firstLineChars="200"/>
        <w:rPr>
          <w:rFonts w:ascii="宋体" w:hAnsi="宋体"/>
          <w:szCs w:val="21"/>
        </w:rPr>
      </w:pPr>
      <w:r>
        <w:rPr>
          <w:rFonts w:hint="eastAsia" w:ascii="宋体" w:hAnsi="宋体"/>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spacing w:line="400" w:lineRule="exact"/>
        <w:ind w:firstLine="420" w:firstLineChars="200"/>
        <w:rPr>
          <w:rFonts w:ascii="宋体" w:hAnsi="宋体"/>
          <w:szCs w:val="21"/>
        </w:rPr>
      </w:pPr>
      <w:r>
        <w:rPr>
          <w:rFonts w:hint="eastAsia" w:ascii="宋体" w:hAnsi="宋体"/>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spacing w:line="400" w:lineRule="exact"/>
        <w:ind w:firstLine="420" w:firstLineChars="200"/>
        <w:rPr>
          <w:rFonts w:ascii="宋体" w:hAnsi="宋体"/>
          <w:szCs w:val="21"/>
        </w:rPr>
      </w:pPr>
      <w:r>
        <w:rPr>
          <w:rFonts w:hint="eastAsia" w:ascii="宋体" w:hAnsi="宋体"/>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pPr>
        <w:spacing w:line="400" w:lineRule="exact"/>
        <w:ind w:firstLine="420" w:firstLineChars="200"/>
        <w:rPr>
          <w:rFonts w:ascii="宋体" w:hAnsi="宋体"/>
          <w:szCs w:val="21"/>
        </w:rPr>
      </w:pPr>
      <w:r>
        <w:rPr>
          <w:rFonts w:hint="eastAsia" w:ascii="宋体" w:hAnsi="宋体"/>
          <w:szCs w:val="21"/>
        </w:rPr>
        <w:t>以上承诺，如有违反，愿依照相关法律法规处理，并承担由此给采购人带来的损失。</w:t>
      </w:r>
    </w:p>
    <w:p>
      <w:pPr>
        <w:spacing w:line="360" w:lineRule="auto"/>
        <w:ind w:firstLine="6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法定代表人或其授权代表：（签字）</w:t>
      </w: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p>
    <w:p>
      <w:r>
        <w:rPr>
          <w:rFonts w:hint="eastAsia"/>
        </w:rPr>
        <w:br w:type="page"/>
      </w:r>
    </w:p>
    <w:p>
      <w:pPr>
        <w:widowControl/>
        <w:snapToGrid w:val="0"/>
        <w:spacing w:line="360" w:lineRule="auto"/>
        <w:jc w:val="left"/>
        <w:outlineLvl w:val="3"/>
        <w:rPr>
          <w:rFonts w:ascii="仿宋" w:hAnsi="仿宋" w:eastAsia="仿宋"/>
          <w:b/>
          <w:bCs/>
          <w:kern w:val="0"/>
          <w:sz w:val="25"/>
          <w:szCs w:val="25"/>
        </w:rPr>
      </w:pPr>
    </w:p>
    <w:p>
      <w:pPr>
        <w:widowControl/>
        <w:snapToGrid w:val="0"/>
        <w:spacing w:line="360" w:lineRule="auto"/>
        <w:jc w:val="left"/>
        <w:outlineLvl w:val="3"/>
        <w:rPr>
          <w:rFonts w:ascii="仿宋" w:hAnsi="仿宋" w:eastAsia="仿宋"/>
          <w:b/>
          <w:bCs/>
          <w:kern w:val="0"/>
          <w:sz w:val="25"/>
          <w:szCs w:val="25"/>
        </w:rPr>
      </w:pPr>
      <w:r>
        <w:rPr>
          <w:rFonts w:hint="eastAsia" w:ascii="仿宋" w:hAnsi="仿宋" w:eastAsia="仿宋"/>
          <w:b/>
          <w:bCs/>
          <w:kern w:val="0"/>
          <w:sz w:val="25"/>
          <w:szCs w:val="25"/>
        </w:rPr>
        <w:t>填写指引：</w:t>
      </w:r>
    </w:p>
    <w:p>
      <w:pPr>
        <w:widowControl/>
        <w:snapToGrid w:val="0"/>
        <w:spacing w:line="360" w:lineRule="auto"/>
        <w:jc w:val="left"/>
        <w:rPr>
          <w:rFonts w:asciiTheme="minorEastAsia" w:hAnsiTheme="minorEastAsia" w:eastAsiaTheme="minorEastAsia"/>
          <w:kern w:val="0"/>
          <w:szCs w:val="21"/>
        </w:rPr>
      </w:pPr>
      <w:r>
        <w:rPr>
          <w:rFonts w:hint="eastAsia" w:ascii="仿宋" w:hAnsi="仿宋" w:eastAsia="仿宋"/>
          <w:kern w:val="0"/>
          <w:sz w:val="25"/>
          <w:szCs w:val="25"/>
        </w:rPr>
        <w:t xml:space="preserve">  </w:t>
      </w:r>
      <w:r>
        <w:rPr>
          <w:rFonts w:hint="eastAsia" w:asciiTheme="minorEastAsia" w:hAnsiTheme="minorEastAsia" w:eastAsiaTheme="minorEastAsia"/>
          <w:kern w:val="0"/>
          <w:szCs w:val="21"/>
        </w:rPr>
        <w:t xml:space="preserve">  1、该部分内容由投标人根据自身实际情况填写，投标人提供的声明函不属实的，属于提供虚假资料谋取中标，依照《中华人民共和国政府采购法》等国家有关规定追究相应责任。</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2、该部分内容填写需要参考的相关文件包括但不限于（具体内容详见附件）：</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w:t>
      </w:r>
      <w:r>
        <w:rPr>
          <w:rFonts w:asciiTheme="minorEastAsia" w:hAnsiTheme="minorEastAsia" w:eastAsiaTheme="minorEastAsia"/>
          <w:kern w:val="0"/>
          <w:szCs w:val="21"/>
        </w:rPr>
        <w:t>1</w:t>
      </w:r>
      <w:r>
        <w:rPr>
          <w:rFonts w:hint="eastAsia" w:asciiTheme="minorEastAsia" w:hAnsiTheme="minorEastAsia" w:eastAsiaTheme="minorEastAsia"/>
          <w:kern w:val="0"/>
          <w:szCs w:val="21"/>
        </w:rPr>
        <w:t>)</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财政部 工业和信息化部关于印发《政府采购促进中小企业发展管理办法》的通知（财库〔2020〕46号）</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w:t>
      </w:r>
      <w:r>
        <w:rPr>
          <w:rFonts w:asciiTheme="minorEastAsia" w:hAnsiTheme="minorEastAsia" w:eastAsiaTheme="minorEastAsia"/>
          <w:kern w:val="0"/>
          <w:szCs w:val="21"/>
        </w:rPr>
        <w:t>2</w:t>
      </w:r>
      <w:r>
        <w:rPr>
          <w:rFonts w:hint="eastAsia" w:asciiTheme="minorEastAsia" w:hAnsiTheme="minorEastAsia" w:eastAsiaTheme="minorEastAsia"/>
          <w:kern w:val="0"/>
          <w:szCs w:val="21"/>
        </w:rPr>
        <w:t>)</w:t>
      </w:r>
      <w:bookmarkStart w:id="56" w:name="_Hlk71925120"/>
      <w:r>
        <w:rPr>
          <w:rFonts w:hint="eastAsia" w:asciiTheme="minorEastAsia" w:hAnsiTheme="minorEastAsia" w:eastAsiaTheme="minorEastAsia"/>
          <w:kern w:val="0"/>
          <w:szCs w:val="21"/>
        </w:rPr>
        <w:t>《关于印发中小企业划型标准规定的通知》（工信部联企业〔2011〕300 号</w:t>
      </w:r>
      <w:bookmarkEnd w:id="56"/>
      <w:r>
        <w:rPr>
          <w:rFonts w:hint="eastAsia" w:asciiTheme="minorEastAsia" w:hAnsiTheme="minorEastAsia" w:eastAsiaTheme="minorEastAsia"/>
          <w:kern w:val="0"/>
          <w:szCs w:val="21"/>
        </w:rPr>
        <w:t>）</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(3)</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国家统计局关于印发《统计上大中小微型企业划分办法 （2017）》的通知（国统字〔2017〕213 号）</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(4)</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财政部 民政部 中国残疾人联合会关于促进残疾人就业 政府采购政策的通知（财库〔2017〕141号）</w:t>
      </w:r>
    </w:p>
    <w:p>
      <w:pPr>
        <w:widowControl/>
        <w:snapToGrid w:val="0"/>
        <w:spacing w:line="360" w:lineRule="auto"/>
        <w:ind w:firstLine="555"/>
        <w:jc w:val="left"/>
        <w:rPr>
          <w:rFonts w:asciiTheme="minorEastAsia" w:hAnsiTheme="minorEastAsia" w:eastAsiaTheme="minorEastAsia"/>
          <w:szCs w:val="21"/>
        </w:rPr>
      </w:pPr>
      <w:r>
        <w:rPr>
          <w:rFonts w:hint="eastAsia" w:asciiTheme="minorEastAsia" w:hAnsiTheme="minorEastAsia" w:eastAsiaTheme="minorEastAsia"/>
          <w:kern w:val="0"/>
          <w:szCs w:val="21"/>
        </w:rPr>
        <w:t>(5)</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财政部 司法部关于政府采购支持监狱企业发展有关问题的通知（财库〔2014〕68号）</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3、请依照招标文件提供的格式和内容填写声明函，不要随意变更格式；满足多项优惠政策的投标人，不重复享受多项价格扣除政策。不符合要求的供应商可以不填写。</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4、《中小企业声明函》填写要求：</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（1）在“单位名称”下划线处如实填写</w:t>
      </w:r>
      <w:r>
        <w:rPr>
          <w:rFonts w:hint="eastAsia" w:asciiTheme="minorEastAsia" w:hAnsiTheme="minorEastAsia" w:eastAsiaTheme="minorEastAsia"/>
          <w:b/>
          <w:color w:val="FF0000"/>
          <w:kern w:val="0"/>
          <w:szCs w:val="21"/>
        </w:rPr>
        <w:t>采购人名称（详见采购人信息，非采购代理机构）</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（2）在“项目名称”下划线处如实填写</w:t>
      </w:r>
      <w:r>
        <w:rPr>
          <w:rFonts w:hint="eastAsia" w:asciiTheme="minorEastAsia" w:hAnsiTheme="minorEastAsia" w:eastAsiaTheme="minorEastAsia"/>
          <w:b/>
          <w:color w:val="FF0000"/>
          <w:kern w:val="0"/>
          <w:szCs w:val="21"/>
        </w:rPr>
        <w:t>采购项目名称</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（3）在“标的名称”下划线处填写所采购标的（货物或服务或工程）的具体名称</w:t>
      </w:r>
      <w:r>
        <w:rPr>
          <w:rFonts w:hint="eastAsia" w:asciiTheme="minorEastAsia" w:hAnsiTheme="minorEastAsia" w:eastAsiaTheme="minorEastAsia"/>
          <w:b/>
          <w:bCs/>
          <w:color w:val="FF0000"/>
          <w:kern w:val="0"/>
          <w:szCs w:val="21"/>
        </w:rPr>
        <w:t>（具体详见第二章项目需求，如涉及多项标的，投标人需逐项进行响应）</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（4）在“</w:t>
      </w:r>
      <w:r>
        <w:rPr>
          <w:rFonts w:asciiTheme="minorEastAsia" w:hAnsiTheme="minorEastAsia" w:eastAsiaTheme="minorEastAsia"/>
          <w:szCs w:val="21"/>
        </w:rPr>
        <w:t>采购文件</w:t>
      </w:r>
      <w:r>
        <w:rPr>
          <w:rFonts w:hint="eastAsia" w:asciiTheme="minorEastAsia" w:hAnsiTheme="minorEastAsia" w:eastAsiaTheme="minorEastAsia"/>
          <w:kern w:val="0"/>
          <w:szCs w:val="21"/>
        </w:rPr>
        <w:t>中明确的所属行业”下划线处填写采购文件规定的本项目所属行业</w:t>
      </w:r>
      <w:r>
        <w:rPr>
          <w:rFonts w:hint="eastAsia" w:asciiTheme="minorEastAsia" w:hAnsiTheme="minorEastAsia" w:eastAsiaTheme="minorEastAsia"/>
          <w:b/>
          <w:bCs/>
          <w:color w:val="FF0000"/>
          <w:kern w:val="0"/>
          <w:szCs w:val="21"/>
        </w:rPr>
        <w:t>（详见第四章 评标方法和标准）</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（5）在“从业人员”、“营业收入”、“资产总额”下划线处如实填写</w:t>
      </w:r>
      <w:r>
        <w:rPr>
          <w:rFonts w:hint="eastAsia" w:asciiTheme="minorEastAsia" w:hAnsiTheme="minorEastAsia" w:eastAsiaTheme="minorEastAsia"/>
          <w:b/>
          <w:color w:val="FF0000"/>
          <w:kern w:val="0"/>
          <w:szCs w:val="21"/>
        </w:rPr>
        <w:t>制造商（货物类）或承接企业（服务或工程类）</w:t>
      </w:r>
      <w:r>
        <w:rPr>
          <w:rFonts w:hint="eastAsia" w:asciiTheme="minorEastAsia" w:hAnsiTheme="minorEastAsia" w:eastAsiaTheme="minorEastAsia"/>
          <w:kern w:val="0"/>
          <w:szCs w:val="21"/>
        </w:rPr>
        <w:t>上一年度从业人员、营业收入、资产总额，无上一年度数据的新成立企业可以不填报；</w:t>
      </w:r>
    </w:p>
    <w:p>
      <w:pPr>
        <w:widowControl/>
        <w:snapToGrid w:val="0"/>
        <w:spacing w:line="360" w:lineRule="auto"/>
        <w:ind w:firstLine="424" w:firstLineChars="202"/>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（6）在“中型企业、小型企业、微型企业”下划线处如实依照工信部联企业〔2011〕300号文填写相应的企业类型。</w:t>
      </w:r>
    </w:p>
    <w:p>
      <w:pPr>
        <w:widowControl/>
        <w:snapToGrid w:val="0"/>
        <w:spacing w:line="360" w:lineRule="auto"/>
        <w:jc w:val="left"/>
        <w:rPr>
          <w:b/>
          <w:bCs/>
          <w:color w:val="FF0000"/>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pStyle w:val="5"/>
        <w:tabs>
          <w:tab w:val="left" w:pos="0"/>
        </w:tabs>
        <w:jc w:val="center"/>
        <w:rPr>
          <w:rFonts w:ascii="宋体" w:hAnsi="宋体" w:eastAsia="宋体"/>
        </w:rPr>
      </w:pPr>
      <w:r>
        <w:rPr>
          <w:rFonts w:hint="eastAsia" w:ascii="宋体" w:hAnsi="宋体" w:eastAsia="宋体"/>
        </w:rPr>
        <w:t>中小企业声明函</w:t>
      </w:r>
    </w:p>
    <w:p>
      <w:pPr>
        <w:pStyle w:val="20"/>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本公司（联合体）郑重声明，根据《政府采购促进中小企业发展管理办法》（财库</w:t>
      </w:r>
      <w:r>
        <w:rPr>
          <w:rFonts w:hint="eastAsia" w:asciiTheme="minorEastAsia" w:hAnsiTheme="minorEastAsia" w:eastAsiaTheme="minorEastAsia"/>
          <w:szCs w:val="21"/>
        </w:rPr>
        <w:t>﹝</w:t>
      </w:r>
      <w:r>
        <w:rPr>
          <w:rFonts w:asciiTheme="minorEastAsia" w:hAnsiTheme="minorEastAsia" w:eastAsiaTheme="minorEastAsia"/>
          <w:szCs w:val="21"/>
        </w:rPr>
        <w:t>2020</w:t>
      </w:r>
      <w:r>
        <w:rPr>
          <w:rFonts w:hint="eastAsia" w:asciiTheme="minorEastAsia" w:hAnsiTheme="minorEastAsia" w:eastAsiaTheme="minorEastAsia"/>
          <w:szCs w:val="21"/>
        </w:rPr>
        <w:t>﹞</w:t>
      </w:r>
      <w:r>
        <w:rPr>
          <w:rFonts w:asciiTheme="minorEastAsia" w:hAnsiTheme="minorEastAsia" w:eastAsiaTheme="minorEastAsia"/>
          <w:szCs w:val="21"/>
        </w:rPr>
        <w:t>46 号）的规定，本公司（联合体）参加</w:t>
      </w:r>
      <w:r>
        <w:rPr>
          <w:rFonts w:asciiTheme="minorEastAsia" w:hAnsiTheme="minorEastAsia" w:eastAsiaTheme="minorEastAsia"/>
          <w:szCs w:val="21"/>
          <w:u w:val="single"/>
        </w:rPr>
        <w:t>（单位名称）</w:t>
      </w:r>
      <w:r>
        <w:rPr>
          <w:rFonts w:asciiTheme="minorEastAsia" w:hAnsiTheme="minorEastAsia" w:eastAsiaTheme="minorEastAsia"/>
          <w:szCs w:val="21"/>
        </w:rPr>
        <w:t>的</w:t>
      </w:r>
      <w:r>
        <w:rPr>
          <w:rFonts w:asciiTheme="minorEastAsia" w:hAnsiTheme="minorEastAsia" w:eastAsiaTheme="minorEastAsia"/>
          <w:szCs w:val="21"/>
          <w:u w:val="single"/>
        </w:rPr>
        <w:t>（项目名称）</w:t>
      </w:r>
      <w:r>
        <w:rPr>
          <w:rFonts w:asciiTheme="minorEastAsia" w:hAnsiTheme="minorEastAsia" w:eastAsiaTheme="minorEastAsia"/>
          <w:szCs w:val="21"/>
        </w:rPr>
        <w:t>采购活动，</w:t>
      </w:r>
      <w:r>
        <w:rPr>
          <w:rFonts w:hint="eastAsia" w:asciiTheme="minorEastAsia" w:hAnsiTheme="minorEastAsia" w:eastAsiaTheme="minorEastAsia"/>
          <w:szCs w:val="21"/>
        </w:rPr>
        <w:t>服务全部由符合政策要求的中小企业承接</w:t>
      </w:r>
      <w:r>
        <w:rPr>
          <w:rFonts w:asciiTheme="minorEastAsia" w:hAnsiTheme="minorEastAsia" w:eastAsiaTheme="minorEastAsia"/>
          <w:szCs w:val="21"/>
        </w:rPr>
        <w:t>。相关企业（含联合体中的中小企业、签订分包意向协议的中小企业）的具体情况如下：</w:t>
      </w:r>
    </w:p>
    <w:p>
      <w:pPr>
        <w:pStyle w:val="20"/>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1.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asciiTheme="minorEastAsia" w:hAnsiTheme="minorEastAsia" w:eastAsiaTheme="minorEastAsia"/>
          <w:szCs w:val="21"/>
        </w:rPr>
        <w:t>；承接企业为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0"/>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2.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asciiTheme="minorEastAsia" w:hAnsiTheme="minorEastAsia" w:eastAsiaTheme="minorEastAsia"/>
          <w:szCs w:val="21"/>
        </w:rPr>
        <w:t>；承接企业为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0"/>
        <w:spacing w:before="11"/>
        <w:ind w:right="-1" w:firstLine="424" w:firstLineChars="202"/>
        <w:rPr>
          <w:rFonts w:asciiTheme="minorEastAsia" w:hAnsiTheme="minorEastAsia" w:eastAsiaTheme="minorEastAsia"/>
          <w:szCs w:val="21"/>
        </w:rPr>
      </w:pPr>
      <w:r>
        <w:rPr>
          <w:rFonts w:asciiTheme="minorEastAsia" w:hAnsiTheme="minorEastAsia" w:eastAsiaTheme="minorEastAsia"/>
          <w:szCs w:val="21"/>
        </w:rPr>
        <w:t>……</w:t>
      </w:r>
    </w:p>
    <w:p>
      <w:pPr>
        <w:pStyle w:val="20"/>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以上企业，不属于大企业的分支机构，不存在控股股东为大企业的情形，也不存在与大企业的负责人为同一人的情形。</w:t>
      </w:r>
    </w:p>
    <w:p>
      <w:pPr>
        <w:pStyle w:val="20"/>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本企业对上述声明内容的真实性负责。如有虚假，将依法承担相应责任</w:t>
      </w:r>
      <w:r>
        <w:rPr>
          <w:rFonts w:hint="eastAsia" w:asciiTheme="minorEastAsia" w:hAnsiTheme="minorEastAsia" w:eastAsiaTheme="minorEastAsia"/>
          <w:szCs w:val="21"/>
        </w:rPr>
        <w:t>。</w:t>
      </w:r>
    </w:p>
    <w:p>
      <w:pPr>
        <w:pStyle w:val="20"/>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本企业</w:t>
      </w:r>
      <w:r>
        <w:rPr>
          <w:rFonts w:hint="eastAsia" w:asciiTheme="minorEastAsia" w:hAnsiTheme="minorEastAsia" w:eastAsiaTheme="minorEastAsia"/>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pPr>
        <w:spacing w:line="360" w:lineRule="auto"/>
        <w:ind w:firstLine="420" w:firstLineChars="200"/>
        <w:rPr>
          <w:rFonts w:asciiTheme="minorEastAsia" w:hAnsiTheme="minorEastAsia" w:eastAsiaTheme="minorEastAsia"/>
          <w:szCs w:val="21"/>
        </w:rPr>
      </w:pPr>
    </w:p>
    <w:p>
      <w:pPr>
        <w:spacing w:line="360" w:lineRule="auto"/>
        <w:ind w:firstLine="420" w:firstLineChars="200"/>
        <w:jc w:val="right"/>
        <w:rPr>
          <w:rFonts w:ascii="宋体" w:hAnsi="宋体"/>
          <w:szCs w:val="21"/>
        </w:rPr>
      </w:pPr>
      <w:r>
        <w:rPr>
          <w:rFonts w:hint="eastAsia" w:ascii="宋体" w:hAnsi="宋体"/>
          <w:szCs w:val="21"/>
        </w:rPr>
        <w:t>企业名称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rPr>
          <w:rFonts w:ascii="宋体" w:hAnsi="宋体"/>
          <w:szCs w:val="21"/>
        </w:rPr>
      </w:pPr>
      <w:r>
        <w:rPr>
          <w:rFonts w:hint="eastAsia" w:ascii="宋体" w:hAnsi="宋体"/>
          <w:szCs w:val="21"/>
        </w:rPr>
        <w:t>备注：</w:t>
      </w:r>
    </w:p>
    <w:p>
      <w:pPr>
        <w:spacing w:line="360" w:lineRule="auto"/>
        <w:ind w:firstLine="420" w:firstLineChars="200"/>
        <w:rPr>
          <w:rFonts w:ascii="宋体" w:hAnsi="宋体"/>
          <w:szCs w:val="21"/>
        </w:rPr>
      </w:pPr>
      <w:r>
        <w:rPr>
          <w:rFonts w:hint="eastAsia" w:ascii="宋体" w:hAnsi="宋体"/>
          <w:szCs w:val="21"/>
        </w:rPr>
        <w:t>1、填写前请认真阅读《工业和信息化部、国家统计局、国家发展和改革委员会、财政部关于印发中小企业划型标准规定的通知》</w:t>
      </w:r>
      <w:r>
        <w:rPr>
          <w:rFonts w:ascii="宋体" w:hAnsi="宋体"/>
          <w:szCs w:val="21"/>
        </w:rPr>
        <w:t>(</w:t>
      </w:r>
      <w:r>
        <w:rPr>
          <w:rFonts w:hint="eastAsia" w:ascii="宋体" w:hAnsi="宋体"/>
          <w:szCs w:val="21"/>
        </w:rPr>
        <w:t>工信部联企业〔</w:t>
      </w:r>
      <w:r>
        <w:rPr>
          <w:rFonts w:ascii="宋体" w:hAnsi="宋体"/>
          <w:szCs w:val="21"/>
        </w:rPr>
        <w:t>2011</w:t>
      </w:r>
      <w:r>
        <w:rPr>
          <w:rFonts w:hint="eastAsia" w:ascii="宋体" w:hAnsi="宋体"/>
          <w:szCs w:val="21"/>
        </w:rPr>
        <w:t>〕</w:t>
      </w:r>
      <w:r>
        <w:rPr>
          <w:rFonts w:ascii="宋体" w:hAnsi="宋体"/>
          <w:szCs w:val="21"/>
        </w:rPr>
        <w:t>300</w:t>
      </w:r>
      <w:r>
        <w:rPr>
          <w:rFonts w:hint="eastAsia" w:ascii="宋体" w:hAnsi="宋体"/>
          <w:szCs w:val="21"/>
        </w:rPr>
        <w:t>号</w:t>
      </w:r>
      <w:r>
        <w:rPr>
          <w:rFonts w:ascii="宋体" w:hAnsi="宋体"/>
          <w:szCs w:val="21"/>
        </w:rPr>
        <w:t>)</w:t>
      </w:r>
      <w:r>
        <w:rPr>
          <w:rFonts w:hint="eastAsia" w:ascii="宋体" w:hAnsi="宋体"/>
          <w:szCs w:val="21"/>
        </w:rPr>
        <w:t>和《财政部 工业和信息化部关于印发《政府采购促进中小企业发展管理办法》的通知》</w:t>
      </w:r>
      <w:r>
        <w:rPr>
          <w:rFonts w:ascii="宋体" w:hAnsi="宋体"/>
          <w:szCs w:val="21"/>
        </w:rPr>
        <w:t>(</w:t>
      </w:r>
      <w:r>
        <w:rPr>
          <w:rFonts w:hint="eastAsia" w:ascii="宋体" w:hAnsi="宋体"/>
          <w:szCs w:val="21"/>
        </w:rPr>
        <w:t>财库〔2020〕46号</w:t>
      </w:r>
      <w:r>
        <w:rPr>
          <w:rFonts w:ascii="宋体" w:hAnsi="宋体"/>
          <w:szCs w:val="21"/>
        </w:rPr>
        <w:t>)</w:t>
      </w:r>
      <w:r>
        <w:rPr>
          <w:rFonts w:hint="eastAsia" w:ascii="宋体" w:hAnsi="宋体"/>
          <w:szCs w:val="21"/>
        </w:rPr>
        <w:t>相关规定。</w:t>
      </w:r>
    </w:p>
    <w:p>
      <w:pPr>
        <w:spacing w:line="360" w:lineRule="auto"/>
        <w:ind w:firstLine="420" w:firstLineChars="200"/>
        <w:rPr>
          <w:rFonts w:ascii="宋体" w:hAnsi="宋体"/>
          <w:szCs w:val="21"/>
        </w:rPr>
      </w:pPr>
      <w:r>
        <w:rPr>
          <w:rFonts w:hint="eastAsia" w:ascii="宋体" w:hAnsi="宋体"/>
          <w:szCs w:val="21"/>
        </w:rPr>
        <w:t>2、从业人员、营业收入、资产总额填报上一年度数据，无上一年度数据的新成立企业可不填报。</w:t>
      </w:r>
    </w:p>
    <w:p>
      <w:pPr>
        <w:spacing w:line="360" w:lineRule="auto"/>
        <w:ind w:firstLine="420" w:firstLineChars="200"/>
        <w:rPr>
          <w:rFonts w:ascii="宋体" w:hAnsi="宋体"/>
          <w:szCs w:val="21"/>
        </w:rPr>
      </w:pPr>
    </w:p>
    <w:p>
      <w:pPr>
        <w:pStyle w:val="5"/>
        <w:tabs>
          <w:tab w:val="left" w:pos="0"/>
        </w:tabs>
        <w:jc w:val="center"/>
        <w:rPr>
          <w:rFonts w:ascii="宋体" w:hAnsi="宋体" w:eastAsia="宋体"/>
        </w:rPr>
      </w:pPr>
      <w:r>
        <w:rPr>
          <w:rFonts w:hint="eastAsia" w:ascii="宋体" w:hAnsi="宋体" w:eastAsia="宋体"/>
        </w:rPr>
        <w:t>监狱企业声明函</w:t>
      </w:r>
    </w:p>
    <w:p>
      <w:pPr>
        <w:spacing w:after="60" w:line="360" w:lineRule="auto"/>
        <w:ind w:firstLine="420" w:firstLineChars="200"/>
        <w:rPr>
          <w:rFonts w:ascii="宋体" w:hAnsi="宋体"/>
          <w:szCs w:val="21"/>
        </w:rPr>
      </w:pPr>
      <w:r>
        <w:rPr>
          <w:rFonts w:hint="eastAsia" w:ascii="宋体" w:hAnsi="宋体"/>
          <w:szCs w:val="21"/>
        </w:rPr>
        <w:t>本单位郑重声明，根据《财政部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号）的规定，本单位为符合条件的监狱企业。</w:t>
      </w:r>
    </w:p>
    <w:p>
      <w:pPr>
        <w:spacing w:after="60"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jc w:val="right"/>
        <w:rPr>
          <w:rFonts w:ascii="宋体" w:hAnsi="宋体"/>
          <w:szCs w:val="21"/>
        </w:rPr>
      </w:pPr>
      <w:r>
        <w:rPr>
          <w:rFonts w:hint="eastAsia" w:ascii="宋体" w:hAnsi="宋体"/>
          <w:szCs w:val="21"/>
        </w:rPr>
        <w:t>单位名称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645"/>
        <w:rPr>
          <w:rFonts w:ascii="宋体"/>
          <w:b/>
          <w:szCs w:val="21"/>
        </w:rPr>
      </w:pPr>
      <w:r>
        <w:rPr>
          <w:rFonts w:hint="eastAsia" w:ascii="宋体" w:hAnsi="宋体"/>
          <w:szCs w:val="21"/>
        </w:rPr>
        <w:t xml:space="preserve">                                    </w:t>
      </w:r>
    </w:p>
    <w:p>
      <w:pPr>
        <w:spacing w:after="60" w:line="360" w:lineRule="auto"/>
        <w:ind w:firstLine="422" w:firstLineChars="200"/>
        <w:rPr>
          <w:rFonts w:ascii="宋体" w:hAnsi="宋体"/>
          <w:b/>
          <w:szCs w:val="21"/>
        </w:rPr>
      </w:pPr>
      <w:r>
        <w:rPr>
          <w:rFonts w:hint="eastAsia" w:ascii="宋体" w:hAnsi="宋体"/>
          <w:b/>
          <w:szCs w:val="21"/>
        </w:rPr>
        <w:t>附：省级以上监狱管理局、戒毒管理局（含新疆生产建设兵团）出具的监狱企业证明文件。</w:t>
      </w:r>
    </w:p>
    <w:p>
      <w:pPr>
        <w:spacing w:line="360" w:lineRule="auto"/>
        <w:ind w:left="723" w:hanging="723" w:hangingChars="300"/>
        <w:rPr>
          <w:b/>
          <w:sz w:val="24"/>
        </w:rPr>
      </w:pPr>
    </w:p>
    <w:p>
      <w:pPr>
        <w:spacing w:line="360" w:lineRule="auto"/>
        <w:ind w:firstLine="424" w:firstLineChars="202"/>
        <w:rPr>
          <w:rFonts w:ascii="宋体" w:hAnsi="宋体"/>
          <w:szCs w:val="21"/>
        </w:rPr>
      </w:pPr>
      <w:r>
        <w:rPr>
          <w:rFonts w:hint="eastAsia" w:ascii="宋体" w:hAnsi="宋体"/>
          <w:szCs w:val="21"/>
        </w:rPr>
        <w:t>备注：填写前请认真阅读《财政部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pPr>
        <w:spacing w:line="360" w:lineRule="auto"/>
        <w:ind w:firstLine="420" w:firstLineChars="200"/>
        <w:rPr>
          <w:rFonts w:ascii="宋体" w:hAnsi="宋体"/>
          <w:szCs w:val="21"/>
        </w:rPr>
      </w:pPr>
    </w:p>
    <w:p>
      <w:pPr>
        <w:pStyle w:val="5"/>
        <w:tabs>
          <w:tab w:val="left" w:pos="0"/>
        </w:tabs>
        <w:jc w:val="center"/>
        <w:rPr>
          <w:rFonts w:ascii="宋体" w:hAnsi="宋体" w:eastAsia="宋体"/>
        </w:rPr>
      </w:pPr>
      <w:r>
        <w:rPr>
          <w:rFonts w:hint="eastAsia" w:ascii="宋体" w:hAnsi="宋体" w:eastAsia="宋体"/>
        </w:rPr>
        <w:t>残疾人福利性单位声明函</w:t>
      </w: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项目采购活动，由本单位提供服务。</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rPr>
          <w:rFonts w:ascii="宋体" w:hAnsi="宋体"/>
          <w:szCs w:val="21"/>
        </w:rPr>
      </w:pPr>
      <w:r>
        <w:rPr>
          <w:rFonts w:hint="eastAsia" w:ascii="宋体" w:hAnsi="宋体"/>
          <w:szCs w:val="21"/>
        </w:rPr>
        <w:t>本单位知悉《关于促进残疾人就业政府采购政策的通知》（财库〔2017〕141 号）的规定，承诺提供的声明函内容是真实的，如提供声明函内容不实，则依法追究相关法律责任。</w:t>
      </w:r>
    </w:p>
    <w:p>
      <w:pPr>
        <w:spacing w:line="360" w:lineRule="auto"/>
        <w:ind w:firstLine="420" w:firstLineChars="200"/>
        <w:rPr>
          <w:rFonts w:ascii="宋体" w:hAnsi="宋体"/>
          <w:szCs w:val="21"/>
        </w:rPr>
      </w:pPr>
    </w:p>
    <w:p>
      <w:pPr>
        <w:spacing w:line="360" w:lineRule="auto"/>
        <w:ind w:firstLine="420" w:firstLineChars="200"/>
        <w:jc w:val="right"/>
        <w:rPr>
          <w:rFonts w:ascii="宋体" w:hAnsi="宋体"/>
          <w:szCs w:val="21"/>
        </w:rPr>
      </w:pPr>
      <w:r>
        <w:rPr>
          <w:rFonts w:hint="eastAsia" w:ascii="宋体" w:hAnsi="宋体"/>
          <w:szCs w:val="21"/>
        </w:rPr>
        <w:t>单位名称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jc w:val="right"/>
        <w:rPr>
          <w:rFonts w:ascii="宋体" w:hAnsi="宋体"/>
          <w:szCs w:val="21"/>
        </w:rPr>
      </w:pPr>
    </w:p>
    <w:p>
      <w:pPr>
        <w:adjustRightInd w:val="0"/>
        <w:snapToGrid w:val="0"/>
        <w:spacing w:line="360" w:lineRule="auto"/>
        <w:ind w:firstLine="600"/>
        <w:jc w:val="right"/>
      </w:pPr>
      <w:r>
        <w:rPr>
          <w:rFonts w:hint="eastAsia" w:ascii="宋体" w:hAnsi="宋体"/>
          <w:szCs w:val="21"/>
        </w:rPr>
        <w:t xml:space="preserve">    备注：填写前请认真阅读《财政部 民政部 中国残疾人联合会关于促进残疾人就业政府采购政策的通知》</w:t>
      </w:r>
      <w:r>
        <w:rPr>
          <w:rFonts w:ascii="宋体" w:hAnsi="宋体"/>
          <w:szCs w:val="21"/>
        </w:rPr>
        <w:t>(</w:t>
      </w:r>
      <w:r>
        <w:rPr>
          <w:rFonts w:hint="eastAsia" w:ascii="宋体" w:hAnsi="宋体"/>
          <w:szCs w:val="21"/>
        </w:rPr>
        <w:t>财库〔2017〕141号</w:t>
      </w:r>
      <w:r>
        <w:rPr>
          <w:rFonts w:ascii="宋体" w:hAnsi="宋体"/>
          <w:szCs w:val="21"/>
        </w:rPr>
        <w:t>)</w:t>
      </w:r>
      <w:r>
        <w:rPr>
          <w:rFonts w:hint="eastAsia" w:ascii="宋体" w:hAnsi="宋体"/>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pStyle w:val="3"/>
        <w:tabs>
          <w:tab w:val="left" w:pos="371"/>
        </w:tabs>
        <w:spacing w:before="120" w:after="120"/>
        <w:ind w:left="-1" w:leftChars="-1" w:hanging="1"/>
        <w:jc w:val="center"/>
        <w:rPr>
          <w:rFonts w:asciiTheme="minorEastAsia" w:hAnsiTheme="minorEastAsia" w:eastAsiaTheme="minorEastAsia"/>
          <w:snapToGrid w:val="0"/>
          <w:kern w:val="0"/>
        </w:rPr>
      </w:pPr>
      <w:bookmarkStart w:id="57" w:name="_Toc135293183"/>
      <w:r>
        <w:rPr>
          <w:rFonts w:hint="eastAsia" w:asciiTheme="minorEastAsia" w:hAnsiTheme="minorEastAsia" w:eastAsiaTheme="minorEastAsia"/>
        </w:rPr>
        <w:t>格式2  法定代表人（负责人）证明书及授权委托书</w:t>
      </w:r>
      <w:bookmarkEnd w:id="57"/>
    </w:p>
    <w:p>
      <w:pPr>
        <w:tabs>
          <w:tab w:val="left" w:pos="450"/>
        </w:tabs>
        <w:jc w:val="center"/>
        <w:rPr>
          <w:rFonts w:ascii="宋体" w:hAnsi="宋体"/>
          <w:b/>
          <w:sz w:val="30"/>
          <w:szCs w:val="30"/>
        </w:rPr>
      </w:pPr>
    </w:p>
    <w:p>
      <w:pPr>
        <w:tabs>
          <w:tab w:val="left" w:pos="450"/>
        </w:tabs>
        <w:jc w:val="center"/>
        <w:rPr>
          <w:rFonts w:ascii="宋体" w:hAnsi="宋体"/>
          <w:b/>
          <w:sz w:val="28"/>
          <w:szCs w:val="28"/>
        </w:rPr>
      </w:pPr>
      <w:r>
        <w:rPr>
          <w:rFonts w:hint="eastAsia" w:ascii="宋体" w:hAnsi="宋体"/>
          <w:b/>
          <w:sz w:val="28"/>
          <w:szCs w:val="28"/>
        </w:rPr>
        <w:t>法定代表人（负责人）证明书（参考）</w:t>
      </w:r>
    </w:p>
    <w:p>
      <w:pPr>
        <w:spacing w:line="400" w:lineRule="exact"/>
        <w:rPr>
          <w:rFonts w:ascii="宋体" w:hAnsi="宋体"/>
          <w:bCs/>
          <w:sz w:val="28"/>
        </w:rPr>
      </w:pPr>
    </w:p>
    <w:p>
      <w:pPr>
        <w:tabs>
          <w:tab w:val="left" w:pos="900"/>
        </w:tabs>
        <w:spacing w:line="480" w:lineRule="auto"/>
        <w:ind w:firstLine="945" w:firstLineChars="450"/>
        <w:rPr>
          <w:rFonts w:ascii="宋体" w:hAnsi="宋体"/>
        </w:rPr>
      </w:pPr>
      <w:r>
        <w:rPr>
          <w:rFonts w:hint="eastAsia" w:ascii="宋体" w:hAnsi="宋体"/>
        </w:rPr>
        <w:t>______________同志，现任我单位</w:t>
      </w:r>
      <w:r>
        <w:rPr>
          <w:rFonts w:ascii="宋体" w:hAnsi="宋体"/>
          <w:u w:val="single"/>
        </w:rPr>
        <w:t xml:space="preserve">         </w:t>
      </w:r>
      <w:r>
        <w:rPr>
          <w:rFonts w:hint="eastAsia" w:ascii="宋体" w:hAnsi="宋体"/>
        </w:rPr>
        <w:t>职务，为法定代表人（负责人），特此证明。</w:t>
      </w:r>
    </w:p>
    <w:p>
      <w:pPr>
        <w:spacing w:line="480" w:lineRule="auto"/>
        <w:ind w:firstLine="420" w:firstLineChars="200"/>
        <w:rPr>
          <w:rFonts w:ascii="宋体" w:hAnsi="宋体"/>
        </w:rPr>
      </w:pPr>
      <w:r>
        <w:rPr>
          <w:rFonts w:hint="eastAsia" w:ascii="宋体" w:hAnsi="宋体"/>
        </w:rPr>
        <w:t>有效日期与本公司投标文件中标注的投标有效期相同。</w:t>
      </w:r>
      <w:r>
        <w:rPr>
          <w:rFonts w:ascii="宋体" w:hAnsi="宋体"/>
        </w:rPr>
        <w:t xml:space="preserve">  </w:t>
      </w:r>
      <w:r>
        <w:rPr>
          <w:rFonts w:hint="eastAsia" w:ascii="宋体" w:hAnsi="宋体"/>
        </w:rPr>
        <w:t>签发日期：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r>
        <w:rPr>
          <w:rFonts w:ascii="宋体" w:hAnsi="宋体"/>
        </w:rPr>
        <w:t xml:space="preserve">             </w:t>
      </w:r>
    </w:p>
    <w:p>
      <w:pPr>
        <w:spacing w:line="480" w:lineRule="auto"/>
        <w:ind w:firstLine="420" w:firstLineChars="200"/>
        <w:rPr>
          <w:rFonts w:ascii="宋体" w:hAnsi="宋体"/>
        </w:rPr>
      </w:pPr>
      <w:r>
        <w:rPr>
          <w:rFonts w:hint="eastAsia" w:ascii="宋体" w:hAnsi="宋体"/>
        </w:rPr>
        <w:t>附：</w:t>
      </w:r>
    </w:p>
    <w:p>
      <w:pPr>
        <w:spacing w:line="480" w:lineRule="auto"/>
        <w:ind w:firstLine="840" w:firstLineChars="400"/>
        <w:rPr>
          <w:rFonts w:ascii="宋体" w:hAnsi="宋体"/>
        </w:rPr>
      </w:pPr>
      <w:r>
        <w:rPr>
          <w:rFonts w:hint="eastAsia" w:ascii="宋体" w:hAnsi="宋体"/>
        </w:rPr>
        <w:t xml:space="preserve">营业执照（注册号）：                       </w:t>
      </w:r>
    </w:p>
    <w:p>
      <w:pPr>
        <w:spacing w:line="480" w:lineRule="auto"/>
        <w:ind w:firstLine="840" w:firstLineChars="400"/>
        <w:rPr>
          <w:rFonts w:ascii="宋体" w:hAnsi="宋体"/>
        </w:rPr>
      </w:pPr>
      <w:r>
        <w:rPr>
          <w:rFonts w:hint="eastAsia" w:ascii="宋体" w:hAnsi="宋体"/>
        </w:rPr>
        <w:t>经济性质：</w:t>
      </w:r>
    </w:p>
    <w:p>
      <w:pPr>
        <w:spacing w:line="480" w:lineRule="auto"/>
        <w:ind w:firstLine="840" w:firstLineChars="400"/>
        <w:rPr>
          <w:rFonts w:ascii="宋体" w:hAnsi="宋体"/>
        </w:rPr>
      </w:pPr>
      <w:r>
        <w:rPr>
          <w:rFonts w:hint="eastAsia" w:ascii="宋体" w:hAnsi="宋体"/>
        </w:rPr>
        <w:t>主营（产）：</w:t>
      </w:r>
    </w:p>
    <w:p>
      <w:pPr>
        <w:spacing w:line="480" w:lineRule="auto"/>
        <w:ind w:firstLine="840" w:firstLineChars="400"/>
        <w:rPr>
          <w:rFonts w:ascii="宋体" w:hAnsi="宋体"/>
        </w:rPr>
      </w:pPr>
      <w:r>
        <w:rPr>
          <w:rFonts w:hint="eastAsia" w:ascii="宋体" w:hAnsi="宋体"/>
        </w:rPr>
        <w:t>兼营（产）：</w:t>
      </w:r>
    </w:p>
    <w:p>
      <w:pPr>
        <w:spacing w:line="480" w:lineRule="auto"/>
        <w:ind w:firstLine="960" w:firstLineChars="400"/>
        <w:rPr>
          <w:rFonts w:ascii="宋体" w:hAnsi="宋体"/>
          <w:sz w:val="24"/>
        </w:rPr>
      </w:pPr>
    </w:p>
    <w:p>
      <w:pPr>
        <w:spacing w:line="500" w:lineRule="exact"/>
        <w:rPr>
          <w:rFonts w:ascii="宋体"/>
          <w:b/>
          <w:bCs/>
        </w:rPr>
      </w:pPr>
      <w:r>
        <w:rPr>
          <w:rFonts w:ascii="宋体"/>
          <w:b/>
          <w:bCs/>
        </w:rPr>
        <w:pict>
          <v:rect id="Rectangle 5" o:spid="_x0000_s1048" o:spt="1" style="position:absolute;left:0pt;margin-left:250.65pt;margin-top:10.75pt;height:156pt;width:243pt;z-index:251663360;mso-width-relative:page;mso-height-relative:page;" coordsize="21600,21600">
            <v:path/>
            <v:fill focussize="0,0"/>
            <v:stroke/>
            <v:imagedata o:title=""/>
            <o:lock v:ext="edit"/>
            <v:textbox>
              <w:txbxContent>
                <w:p>
                  <w:pPr>
                    <w:ind w:firstLine="1260" w:firstLineChars="600"/>
                  </w:pPr>
                  <w:r>
                    <w:rPr>
                      <w:rFonts w:hint="eastAsia"/>
                    </w:rPr>
                    <w:t xml:space="preserve"> 法定代表人</w:t>
                  </w:r>
                  <w:r>
                    <w:rPr>
                      <w:rFonts w:hint="eastAsia" w:ascii="宋体" w:hAnsi="宋体"/>
                    </w:rPr>
                    <w:t>（负责人）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v:textbox>
          </v:rect>
        </w:pict>
      </w:r>
      <w:r>
        <w:rPr>
          <w:rFonts w:ascii="宋体"/>
          <w:b/>
          <w:bCs/>
        </w:rPr>
        <w:pict>
          <v:rect id="Rectangle 4" o:spid="_x0000_s1047" o:spt="1" style="position:absolute;left:0pt;margin-left:-11.85pt;margin-top:10.75pt;height:156pt;width:243pt;z-index:251662336;mso-width-relative:page;mso-height-relative:page;" coordsize="21600,21600">
            <v:path/>
            <v:fill focussize="0,0"/>
            <v:stroke/>
            <v:imagedata o:title=""/>
            <o:lock v:ext="edit"/>
            <v:textbox>
              <w:txbxContent>
                <w:p>
                  <w:pPr>
                    <w:ind w:firstLine="1260" w:firstLineChars="600"/>
                    <w:jc w:val="left"/>
                  </w:pPr>
                  <w:r>
                    <w:rPr>
                      <w:rFonts w:hint="eastAsia"/>
                    </w:rPr>
                    <w:t>法定代表人</w:t>
                  </w:r>
                  <w:r>
                    <w:rPr>
                      <w:rFonts w:hint="eastAsia" w:ascii="宋体" w:hAnsi="宋体"/>
                    </w:rPr>
                    <w:t>（负责人）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v:textbox>
          </v:rect>
        </w:pict>
      </w: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r>
        <w:rPr>
          <w:rFonts w:hint="eastAsia" w:ascii="宋体"/>
          <w:b/>
          <w:bCs/>
        </w:rPr>
        <w:t xml:space="preserve">                         </w:t>
      </w:r>
    </w:p>
    <w:p>
      <w:pPr>
        <w:spacing w:line="360" w:lineRule="auto"/>
        <w:ind w:firstLine="539" w:firstLineChars="257"/>
      </w:pPr>
    </w:p>
    <w:p>
      <w:pPr>
        <w:spacing w:line="360" w:lineRule="auto"/>
        <w:ind w:firstLine="539" w:firstLineChars="257"/>
      </w:pPr>
      <w:r>
        <w:rPr>
          <w:rFonts w:hint="eastAsia"/>
        </w:rPr>
        <w:t>单位名称：（公章）</w:t>
      </w:r>
      <w:r>
        <w:rPr>
          <w:rFonts w:hint="eastAsia"/>
          <w:u w:val="single"/>
        </w:rPr>
        <w:t xml:space="preserve">                                         </w:t>
      </w:r>
    </w:p>
    <w:p>
      <w:pPr>
        <w:spacing w:line="360" w:lineRule="auto"/>
        <w:ind w:firstLine="539" w:firstLineChars="257"/>
      </w:pPr>
    </w:p>
    <w:p>
      <w:pPr>
        <w:spacing w:line="360" w:lineRule="auto"/>
        <w:ind w:firstLine="539" w:firstLineChars="257"/>
        <w:rPr>
          <w:b/>
          <w:bCs/>
          <w:sz w:val="28"/>
        </w:rPr>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 xml:space="preserve">月 </w:t>
      </w:r>
      <w:r>
        <w:rPr>
          <w:rFonts w:hint="eastAsia"/>
          <w:u w:val="single"/>
        </w:rPr>
        <w:t xml:space="preserve">      </w:t>
      </w:r>
      <w:r>
        <w:rPr>
          <w:rFonts w:hint="eastAsia"/>
        </w:rPr>
        <w:t>日</w:t>
      </w:r>
    </w:p>
    <w:p>
      <w:pPr>
        <w:ind w:firstLine="2249" w:firstLineChars="800"/>
        <w:rPr>
          <w:b/>
          <w:bCs/>
          <w:sz w:val="28"/>
        </w:rPr>
      </w:pPr>
    </w:p>
    <w:p>
      <w:pPr>
        <w:ind w:firstLine="2249" w:firstLineChars="800"/>
        <w:rPr>
          <w:b/>
          <w:bCs/>
          <w:sz w:val="28"/>
        </w:rPr>
      </w:pPr>
    </w:p>
    <w:p>
      <w:pPr>
        <w:ind w:firstLine="2249" w:firstLineChars="800"/>
        <w:rPr>
          <w:b/>
          <w:bCs/>
          <w:sz w:val="28"/>
        </w:rPr>
      </w:pPr>
    </w:p>
    <w:p>
      <w:pPr>
        <w:jc w:val="center"/>
        <w:rPr>
          <w:b/>
          <w:bCs/>
          <w:sz w:val="28"/>
        </w:rPr>
      </w:pPr>
      <w:r>
        <w:rPr>
          <w:rFonts w:hint="eastAsia"/>
          <w:b/>
          <w:bCs/>
          <w:sz w:val="28"/>
        </w:rPr>
        <w:t>法定代表人（负责人）授权委托书</w:t>
      </w:r>
      <w:r>
        <w:rPr>
          <w:rFonts w:hint="eastAsia" w:ascii="宋体" w:hAnsi="宋体"/>
          <w:b/>
          <w:sz w:val="30"/>
          <w:szCs w:val="30"/>
        </w:rPr>
        <w:t>（参考）</w:t>
      </w:r>
    </w:p>
    <w:p/>
    <w:p>
      <w:pPr>
        <w:rPr>
          <w:b/>
          <w:bCs/>
        </w:rPr>
      </w:pPr>
      <w:r>
        <w:rPr>
          <w:rFonts w:hint="eastAsia"/>
        </w:rPr>
        <w:t>深圳市中正招标有限公司</w:t>
      </w:r>
      <w:r>
        <w:rPr>
          <w:rFonts w:hint="eastAsia"/>
          <w:b/>
          <w:bCs/>
        </w:rPr>
        <w:t>：</w:t>
      </w:r>
    </w:p>
    <w:p>
      <w:pPr>
        <w:ind w:firstLine="630"/>
      </w:pPr>
    </w:p>
    <w:p>
      <w:pPr>
        <w:adjustRightInd w:val="0"/>
        <w:snapToGrid w:val="0"/>
        <w:spacing w:line="360" w:lineRule="auto"/>
        <w:ind w:firstLine="629"/>
      </w:pPr>
      <w:r>
        <w:rPr>
          <w:rFonts w:hint="eastAsia"/>
        </w:rPr>
        <w:t>现委派</w:t>
      </w:r>
      <w:r>
        <w:rPr>
          <w:rFonts w:hint="eastAsia"/>
          <w:u w:val="single"/>
        </w:rPr>
        <w:t xml:space="preserve">  （姓名、职务） </w:t>
      </w:r>
      <w:r>
        <w:rPr>
          <w:rFonts w:hint="eastAsia"/>
        </w:rPr>
        <w:t>参加贵公司组织的</w:t>
      </w:r>
      <w:r>
        <w:rPr>
          <w:rFonts w:hint="eastAsia"/>
          <w:b/>
          <w:bCs/>
          <w:u w:val="single"/>
        </w:rPr>
        <w:t xml:space="preserve">  </w:t>
      </w:r>
      <w:r>
        <w:rPr>
          <w:rFonts w:hint="eastAsia"/>
          <w:u w:val="single"/>
        </w:rPr>
        <w:t xml:space="preserve">（招标项目名称、编号） </w:t>
      </w:r>
      <w:r>
        <w:rPr>
          <w:rFonts w:hint="eastAsia"/>
        </w:rPr>
        <w:t>招标活动，全权代表我单位处理投标的有关事宜。</w:t>
      </w:r>
    </w:p>
    <w:p>
      <w:pPr>
        <w:adjustRightInd w:val="0"/>
        <w:snapToGrid w:val="0"/>
        <w:spacing w:line="360" w:lineRule="auto"/>
        <w:ind w:firstLine="629"/>
      </w:pPr>
    </w:p>
    <w:p>
      <w:pPr>
        <w:ind w:firstLine="630"/>
      </w:pPr>
    </w:p>
    <w:p>
      <w:pPr>
        <w:adjustRightInd w:val="0"/>
        <w:snapToGrid w:val="0"/>
        <w:spacing w:line="360" w:lineRule="auto"/>
        <w:ind w:firstLine="629"/>
        <w:rPr>
          <w:b/>
          <w:bCs/>
        </w:rPr>
      </w:pPr>
      <w:r>
        <w:rPr>
          <w:rFonts w:hint="eastAsia"/>
          <w:b/>
          <w:bCs/>
        </w:rPr>
        <w:t>附授权代表情况：</w:t>
      </w:r>
    </w:p>
    <w:p>
      <w:pPr>
        <w:adjustRightInd w:val="0"/>
        <w:snapToGrid w:val="0"/>
        <w:spacing w:line="360" w:lineRule="auto"/>
        <w:ind w:firstLine="629"/>
      </w:pPr>
      <w:r>
        <w:rPr>
          <w:rFonts w:hint="eastAsia"/>
        </w:rPr>
        <w:t>姓名：</w:t>
      </w:r>
      <w:r>
        <w:rPr>
          <w:rFonts w:hint="eastAsia"/>
          <w:b/>
          <w:bCs/>
        </w:rPr>
        <w:t xml:space="preserve">    </w:t>
      </w:r>
      <w:r>
        <w:rPr>
          <w:rFonts w:hint="eastAsia"/>
        </w:rPr>
        <w:t xml:space="preserve">            性别：</w:t>
      </w:r>
      <w:r>
        <w:rPr>
          <w:rFonts w:hint="eastAsia"/>
          <w:b/>
          <w:bCs/>
        </w:rPr>
        <w:t xml:space="preserve"> </w:t>
      </w:r>
    </w:p>
    <w:p>
      <w:pPr>
        <w:adjustRightInd w:val="0"/>
        <w:snapToGrid w:val="0"/>
        <w:spacing w:line="360" w:lineRule="auto"/>
        <w:ind w:firstLine="629"/>
        <w:rPr>
          <w:b/>
          <w:bCs/>
        </w:rPr>
      </w:pPr>
      <w:r>
        <w:rPr>
          <w:rFonts w:hint="eastAsia"/>
        </w:rPr>
        <w:t>年龄：</w:t>
      </w:r>
      <w:r>
        <w:rPr>
          <w:rFonts w:hint="eastAsia"/>
          <w:b/>
          <w:bCs/>
        </w:rPr>
        <w:t xml:space="preserve"> </w:t>
      </w:r>
      <w:r>
        <w:rPr>
          <w:rFonts w:hint="eastAsia"/>
        </w:rPr>
        <w:t xml:space="preserve">            </w:t>
      </w:r>
    </w:p>
    <w:p>
      <w:pPr>
        <w:adjustRightInd w:val="0"/>
        <w:snapToGrid w:val="0"/>
        <w:spacing w:line="360" w:lineRule="auto"/>
        <w:ind w:firstLine="629"/>
      </w:pPr>
      <w:r>
        <w:rPr>
          <w:rFonts w:hint="eastAsia"/>
        </w:rPr>
        <w:t>职务：</w:t>
      </w:r>
    </w:p>
    <w:p>
      <w:pPr>
        <w:adjustRightInd w:val="0"/>
        <w:snapToGrid w:val="0"/>
        <w:spacing w:line="360" w:lineRule="auto"/>
        <w:ind w:firstLine="629"/>
      </w:pPr>
      <w:r>
        <w:rPr>
          <w:rFonts w:hint="eastAsia"/>
        </w:rPr>
        <w:t>身份证号码：</w:t>
      </w:r>
    </w:p>
    <w:p>
      <w:pPr>
        <w:adjustRightInd w:val="0"/>
        <w:snapToGrid w:val="0"/>
        <w:spacing w:line="360" w:lineRule="auto"/>
        <w:ind w:firstLine="629"/>
        <w:rPr>
          <w:b/>
          <w:bCs/>
        </w:rPr>
      </w:pPr>
      <w:r>
        <w:rPr>
          <w:rFonts w:hint="eastAsia"/>
        </w:rPr>
        <w:t>邮编：</w:t>
      </w:r>
      <w:r>
        <w:rPr>
          <w:rFonts w:hint="eastAsia"/>
          <w:b/>
          <w:bCs/>
        </w:rPr>
        <w:t xml:space="preserve"> </w:t>
      </w:r>
    </w:p>
    <w:p>
      <w:pPr>
        <w:adjustRightInd w:val="0"/>
        <w:snapToGrid w:val="0"/>
        <w:spacing w:line="360" w:lineRule="auto"/>
        <w:ind w:firstLine="629"/>
      </w:pPr>
      <w:r>
        <w:rPr>
          <w:rFonts w:hint="eastAsia"/>
        </w:rPr>
        <w:t>通讯地址：</w:t>
      </w:r>
      <w:r>
        <w:rPr>
          <w:rFonts w:hint="eastAsia"/>
          <w:b/>
          <w:bCs/>
        </w:rPr>
        <w:t xml:space="preserve"> </w:t>
      </w:r>
    </w:p>
    <w:p>
      <w:pPr>
        <w:adjustRightInd w:val="0"/>
        <w:snapToGrid w:val="0"/>
        <w:spacing w:line="360" w:lineRule="auto"/>
        <w:ind w:firstLine="629"/>
      </w:pPr>
      <w:r>
        <w:rPr>
          <w:rFonts w:hint="eastAsia"/>
        </w:rPr>
        <w:t>电话：</w:t>
      </w:r>
    </w:p>
    <w:p>
      <w:pPr>
        <w:adjustRightInd w:val="0"/>
        <w:snapToGrid w:val="0"/>
        <w:spacing w:line="360" w:lineRule="auto"/>
        <w:ind w:firstLine="629"/>
      </w:pPr>
      <w:r>
        <w:rPr>
          <w:rFonts w:hint="eastAsia"/>
        </w:rPr>
        <w:t xml:space="preserve"> </w:t>
      </w:r>
    </w:p>
    <w:p>
      <w:pPr>
        <w:ind w:firstLine="630"/>
      </w:pPr>
      <w:r>
        <w:rPr>
          <w:rFonts w:hint="eastAsia"/>
        </w:rPr>
        <w:t>单位名称：（公章）</w:t>
      </w:r>
    </w:p>
    <w:p>
      <w:pPr>
        <w:ind w:firstLine="630"/>
      </w:pPr>
    </w:p>
    <w:p>
      <w:pPr>
        <w:ind w:firstLine="630"/>
      </w:pPr>
      <w:r>
        <w:rPr>
          <w:rFonts w:hint="eastAsia"/>
        </w:rPr>
        <w:t>法定代表人（负责人）：（</w:t>
      </w:r>
      <w:r>
        <w:rPr>
          <w:snapToGrid w:val="0"/>
          <w:kern w:val="0"/>
        </w:rPr>
        <w:t>签字</w:t>
      </w:r>
      <w:r>
        <w:rPr>
          <w:rFonts w:hint="eastAsia"/>
        </w:rPr>
        <w:t>）</w:t>
      </w:r>
    </w:p>
    <w:p>
      <w:pPr>
        <w:ind w:firstLine="630"/>
      </w:pPr>
    </w:p>
    <w:p>
      <w:pPr>
        <w:adjustRightInd w:val="0"/>
        <w:snapToGrid w:val="0"/>
        <w:spacing w:line="300" w:lineRule="auto"/>
        <w:ind w:firstLine="5317" w:firstLineChars="2532"/>
      </w:pPr>
      <w:r>
        <w:rPr>
          <w:rFonts w:hint="eastAsia"/>
        </w:rPr>
        <w:t>年</w:t>
      </w:r>
      <w:r>
        <w:rPr>
          <w:rFonts w:hint="eastAsia"/>
          <w:b/>
          <w:bCs/>
        </w:rPr>
        <w:t xml:space="preserve">    </w:t>
      </w:r>
      <w:r>
        <w:rPr>
          <w:rFonts w:hint="eastAsia"/>
        </w:rPr>
        <w:t>月</w:t>
      </w:r>
      <w:r>
        <w:rPr>
          <w:rFonts w:hint="eastAsia"/>
          <w:b/>
          <w:bCs/>
        </w:rPr>
        <w:t xml:space="preserve">   </w:t>
      </w:r>
      <w:r>
        <w:rPr>
          <w:rFonts w:hint="eastAsia"/>
        </w:rPr>
        <w:t>日</w:t>
      </w:r>
    </w:p>
    <w:p>
      <w:pPr>
        <w:spacing w:line="440" w:lineRule="exact"/>
        <w:rPr>
          <w:rFonts w:ascii="黑体" w:eastAsia="黑体"/>
        </w:rPr>
      </w:pPr>
      <w:bookmarkStart w:id="58" w:name="_Toc226217114"/>
      <w:r>
        <w:rPr>
          <w:rFonts w:ascii="宋体"/>
        </w:rPr>
        <w:pict>
          <v:rect id="Rectangle 2" o:spid="_x0000_s1045" o:spt="1" style="position:absolute;left:0pt;margin-left:-10.35pt;margin-top:5.6pt;height:156pt;width:243pt;z-index:251660288;mso-width-relative:page;mso-height-relative:page;" coordsize="21600,21600">
            <v:path/>
            <v:fill focussize="0,0"/>
            <v:stroke/>
            <v:imagedata o:title=""/>
            <o:lock v:ext="edit"/>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v:textbox>
          </v:rect>
        </w:pict>
      </w:r>
      <w:r>
        <w:rPr>
          <w:rFonts w:ascii="黑体" w:eastAsia="黑体"/>
        </w:rPr>
        <w:pict>
          <v:rect id="Rectangle 3" o:spid="_x0000_s1046" o:spt="1" style="position:absolute;left:0pt;margin-left:249.9pt;margin-top:5.6pt;height:156pt;width:243pt;z-index:251661312;mso-width-relative:page;mso-height-relative:page;" coordsize="21600,21600">
            <v:path/>
            <v:fill focussize="0,0"/>
            <v:stroke/>
            <v:imagedata o:title=""/>
            <o:lock v:ext="edit"/>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v:textbox>
          </v:rect>
        </w:pict>
      </w:r>
      <w:bookmarkEnd w:id="58"/>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tabs>
          <w:tab w:val="left" w:pos="5115"/>
        </w:tabs>
        <w:spacing w:line="440" w:lineRule="exact"/>
        <w:rPr>
          <w:rFonts w:ascii="黑体" w:eastAsia="黑体"/>
        </w:rPr>
      </w:pPr>
      <w:r>
        <w:rPr>
          <w:rFonts w:ascii="黑体" w:eastAsia="黑体"/>
        </w:rPr>
        <w:tab/>
      </w:r>
    </w:p>
    <w:p>
      <w:pPr>
        <w:spacing w:line="440" w:lineRule="exact"/>
        <w:rPr>
          <w:rFonts w:ascii="黑体" w:eastAsia="黑体"/>
        </w:rPr>
      </w:pPr>
    </w:p>
    <w:p>
      <w:pPr>
        <w:adjustRightInd w:val="0"/>
        <w:snapToGrid w:val="0"/>
        <w:spacing w:line="300" w:lineRule="auto"/>
        <w:ind w:firstLine="5008" w:firstLineChars="2385"/>
      </w:pPr>
    </w:p>
    <w:p>
      <w:pPr>
        <w:adjustRightInd w:val="0"/>
        <w:snapToGrid w:val="0"/>
        <w:spacing w:line="300" w:lineRule="auto"/>
      </w:pPr>
    </w:p>
    <w:p>
      <w:pPr>
        <w:adjustRightInd w:val="0"/>
        <w:snapToGrid w:val="0"/>
        <w:spacing w:line="300" w:lineRule="auto"/>
      </w:pPr>
    </w:p>
    <w:p>
      <w:pPr>
        <w:adjustRightInd w:val="0"/>
        <w:snapToGrid w:val="0"/>
        <w:spacing w:line="300" w:lineRule="auto"/>
        <w:rPr>
          <w:rFonts w:asciiTheme="majorEastAsia" w:hAnsiTheme="majorEastAsia" w:eastAsiaTheme="majorEastAsia"/>
          <w:b/>
          <w:snapToGrid w:val="0"/>
          <w:kern w:val="0"/>
          <w:sz w:val="24"/>
        </w:rPr>
      </w:pPr>
      <w:r>
        <w:rPr>
          <w:rFonts w:hint="eastAsia" w:asciiTheme="majorEastAsia" w:hAnsiTheme="majorEastAsia" w:eastAsiaTheme="majorEastAsia"/>
          <w:b/>
          <w:sz w:val="24"/>
        </w:rPr>
        <w:t>注：法定代表人（负责人）证明书和法定代表人（负责人）授权委托书除装订于投标文件中外，还须另置一份按“投标人须知”18.4项要求单独密封。</w:t>
      </w:r>
    </w:p>
    <w:p/>
    <w:p>
      <w:pPr>
        <w:tabs>
          <w:tab w:val="left" w:pos="720"/>
        </w:tabs>
        <w:adjustRightInd w:val="0"/>
        <w:snapToGrid w:val="0"/>
        <w:spacing w:line="300" w:lineRule="auto"/>
      </w:pPr>
    </w:p>
    <w:p>
      <w:pPr>
        <w:tabs>
          <w:tab w:val="left" w:pos="720"/>
        </w:tabs>
        <w:adjustRightInd w:val="0"/>
        <w:snapToGrid w:val="0"/>
        <w:spacing w:line="300" w:lineRule="auto"/>
        <w:rPr>
          <w:b/>
          <w:snapToGrid w:val="0"/>
          <w:kern w:val="0"/>
          <w:sz w:val="28"/>
        </w:rPr>
      </w:pPr>
    </w:p>
    <w:p>
      <w:pPr>
        <w:pStyle w:val="3"/>
        <w:tabs>
          <w:tab w:val="left" w:pos="371"/>
        </w:tabs>
        <w:spacing w:before="120" w:after="120"/>
        <w:ind w:left="-1" w:leftChars="-1" w:hanging="1"/>
        <w:jc w:val="center"/>
        <w:rPr>
          <w:rFonts w:asciiTheme="minorEastAsia" w:hAnsiTheme="minorEastAsia" w:eastAsiaTheme="minorEastAsia"/>
        </w:rPr>
      </w:pPr>
      <w:bookmarkStart w:id="59" w:name="_Toc135293184"/>
      <w:r>
        <w:rPr>
          <w:rFonts w:hint="eastAsia" w:asciiTheme="minorEastAsia" w:hAnsiTheme="minorEastAsia" w:eastAsiaTheme="minorEastAsia"/>
        </w:rPr>
        <w:t>格式3  投</w:t>
      </w:r>
      <w:r>
        <w:rPr>
          <w:rFonts w:asciiTheme="minorEastAsia" w:hAnsiTheme="minorEastAsia" w:eastAsiaTheme="minorEastAsia"/>
        </w:rPr>
        <w:t xml:space="preserve"> </w:t>
      </w:r>
      <w:r>
        <w:rPr>
          <w:rFonts w:hint="eastAsia" w:asciiTheme="minorEastAsia" w:hAnsiTheme="minorEastAsia" w:eastAsiaTheme="minorEastAsia"/>
        </w:rPr>
        <w:t>标</w:t>
      </w:r>
      <w:r>
        <w:rPr>
          <w:rFonts w:asciiTheme="minorEastAsia" w:hAnsiTheme="minorEastAsia" w:eastAsiaTheme="minorEastAsia"/>
        </w:rPr>
        <w:t xml:space="preserve"> </w:t>
      </w:r>
      <w:r>
        <w:rPr>
          <w:rFonts w:hint="eastAsia" w:asciiTheme="minorEastAsia" w:hAnsiTheme="minorEastAsia" w:eastAsiaTheme="minorEastAsia"/>
        </w:rPr>
        <w:t>函</w:t>
      </w:r>
      <w:bookmarkEnd w:id="59"/>
    </w:p>
    <w:p>
      <w:pPr>
        <w:adjustRightInd w:val="0"/>
        <w:snapToGrid w:val="0"/>
        <w:spacing w:line="312" w:lineRule="auto"/>
      </w:pPr>
    </w:p>
    <w:p>
      <w:pPr>
        <w:adjustRightInd w:val="0"/>
        <w:snapToGrid w:val="0"/>
        <w:spacing w:line="360" w:lineRule="auto"/>
        <w:rPr>
          <w:rFonts w:asciiTheme="minorEastAsia" w:hAnsiTheme="minorEastAsia" w:eastAsiaTheme="minorEastAsia"/>
          <w:b/>
          <w:bCs/>
        </w:rPr>
      </w:pPr>
      <w:r>
        <w:rPr>
          <w:rFonts w:asciiTheme="minorEastAsia" w:hAnsiTheme="minorEastAsia" w:eastAsiaTheme="minorEastAsia"/>
        </w:rPr>
        <w:t>深圳市中正招标有限公司：</w:t>
      </w:r>
    </w:p>
    <w:p>
      <w:pPr>
        <w:adjustRightInd w:val="0"/>
        <w:snapToGrid w:val="0"/>
        <w:spacing w:line="360" w:lineRule="auto"/>
        <w:rPr>
          <w:rFonts w:asciiTheme="minorEastAsia" w:hAnsiTheme="minorEastAsia" w:eastAsiaTheme="minorEastAsia"/>
        </w:rPr>
      </w:pPr>
      <w:r>
        <w:rPr>
          <w:rFonts w:asciiTheme="minorEastAsia" w:hAnsiTheme="minorEastAsia" w:eastAsiaTheme="minorEastAsia"/>
        </w:rPr>
        <w:t xml:space="preserve">    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收到</w:t>
      </w:r>
      <w:r>
        <w:rPr>
          <w:rFonts w:hint="eastAsia" w:asciiTheme="minorEastAsia" w:hAnsiTheme="minorEastAsia" w:eastAsiaTheme="minorEastAsia"/>
        </w:rPr>
        <w:t>贵单位</w:t>
      </w:r>
      <w:r>
        <w:rPr>
          <w:rFonts w:asciiTheme="minorEastAsia" w:hAnsiTheme="minorEastAsia" w:eastAsiaTheme="minorEastAsia"/>
        </w:rPr>
        <w:t>组织的</w:t>
      </w:r>
      <w:r>
        <w:rPr>
          <w:rFonts w:asciiTheme="minorEastAsia" w:hAnsiTheme="minorEastAsia" w:eastAsiaTheme="minorEastAsia"/>
          <w:b/>
          <w:bCs/>
          <w:u w:val="single"/>
        </w:rPr>
        <w:t xml:space="preserve"> </w:t>
      </w:r>
      <w:r>
        <w:rPr>
          <w:rFonts w:asciiTheme="minorEastAsia" w:hAnsiTheme="minorEastAsia" w:eastAsiaTheme="minorEastAsia"/>
          <w:u w:val="single"/>
        </w:rPr>
        <w:t xml:space="preserve">（招标项目名称） </w:t>
      </w:r>
      <w:r>
        <w:rPr>
          <w:rFonts w:asciiTheme="minorEastAsia" w:hAnsiTheme="minorEastAsia" w:eastAsiaTheme="minorEastAsia"/>
        </w:rPr>
        <w:t>招标文件，经详细研究，我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决定参加该项目</w:t>
      </w:r>
      <w:r>
        <w:rPr>
          <w:rFonts w:asciiTheme="minorEastAsia" w:hAnsiTheme="minorEastAsia" w:eastAsiaTheme="minorEastAsia"/>
          <w:u w:val="single"/>
        </w:rPr>
        <w:t xml:space="preserve"> （项目编号）  </w:t>
      </w:r>
      <w:r>
        <w:rPr>
          <w:rFonts w:asciiTheme="minorEastAsia" w:hAnsiTheme="minorEastAsia" w:eastAsiaTheme="minorEastAsia"/>
        </w:rPr>
        <w:t>招标的有关活动，并投标。为此，我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谨郑重声明以下诸点，并对之负法律责任。</w:t>
      </w:r>
    </w:p>
    <w:p>
      <w:pPr>
        <w:spacing w:line="360" w:lineRule="auto"/>
        <w:ind w:firstLine="424" w:firstLineChars="202"/>
        <w:jc w:val="left"/>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1．</w:t>
      </w:r>
      <w:r>
        <w:rPr>
          <w:rFonts w:hint="eastAsia" w:asciiTheme="minorEastAsia" w:hAnsiTheme="minorEastAsia" w:eastAsiaTheme="minorEastAsia"/>
          <w:szCs w:val="21"/>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szCs w:val="21"/>
        </w:rPr>
        <w:t>愿以《开标一览表》中填写的投标报价并</w:t>
      </w:r>
      <w:r>
        <w:rPr>
          <w:rFonts w:hint="eastAsia" w:cs="Courier New" w:asciiTheme="minorEastAsia" w:hAnsiTheme="minorEastAsia" w:eastAsiaTheme="minorEastAsia"/>
          <w:snapToGrid w:val="0"/>
          <w:szCs w:val="18"/>
        </w:rPr>
        <w:t>按照招标文件中的一切要求，承担上述项目的全部工作。</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2．我单位提交的投标文件为：投标书正本一份，副本五份，电子备份光盘（或U盘）一份（内容为投标文件正本盖章扫描件）。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3．如果我单位投标书被接受，我单位将履行招标文件中规定的每一项要求，按期、按质、按量完成任务。</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4．我单位愿意提供采购代理机构在招标文件中要求的所有资料，且</w:t>
      </w:r>
      <w:r>
        <w:rPr>
          <w:rFonts w:hint="eastAsia" w:asciiTheme="minorEastAsia" w:hAnsiTheme="minorEastAsia" w:eastAsiaTheme="minorEastAsia"/>
        </w:rPr>
        <w:t>所递交的投标文件在投标有效期（即</w:t>
      </w:r>
      <w:r>
        <w:rPr>
          <w:rFonts w:hint="eastAsia" w:asciiTheme="minorEastAsia" w:hAnsiTheme="minorEastAsia" w:eastAsiaTheme="minorEastAsia"/>
          <w:u w:val="single"/>
        </w:rPr>
        <w:t>90</w:t>
      </w:r>
      <w:r>
        <w:rPr>
          <w:rFonts w:hint="eastAsia" w:asciiTheme="minorEastAsia" w:hAnsiTheme="minorEastAsia" w:eastAsiaTheme="minorEastAsia"/>
        </w:rPr>
        <w:t>日历天）内有效，在此期间内我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的投标有可能中标，我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将受此约束。</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5．我单位理解，最低报价不是中标的唯一条件。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6．我单位愿按《</w:t>
      </w:r>
      <w:r>
        <w:rPr>
          <w:rFonts w:hint="eastAsia" w:ascii="宋体" w:hAnsi="宋体" w:cs="Courier New"/>
          <w:snapToGrid w:val="0"/>
          <w:szCs w:val="18"/>
        </w:rPr>
        <w:t>中华人民共和国民法典</w:t>
      </w:r>
      <w:r>
        <w:rPr>
          <w:rFonts w:hint="eastAsia" w:cs="Courier New" w:asciiTheme="minorEastAsia" w:hAnsiTheme="minorEastAsia" w:eastAsiaTheme="minorEastAsia"/>
          <w:snapToGrid w:val="0"/>
          <w:szCs w:val="18"/>
        </w:rPr>
        <w:t>》履行自己的全部责任。</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7．我单位同意招标文件之规定，遵守有关招标的各项规定。</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8</w:t>
      </w:r>
      <w:r>
        <w:rPr>
          <w:rFonts w:cs="Courier New" w:asciiTheme="minorEastAsia" w:hAnsiTheme="minorEastAsia" w:eastAsiaTheme="minorEastAsia"/>
          <w:snapToGrid w:val="0"/>
          <w:szCs w:val="18"/>
        </w:rPr>
        <w:t>.</w:t>
      </w:r>
      <w:r>
        <w:rPr>
          <w:rFonts w:hint="eastAsia" w:cs="Courier New" w:asciiTheme="minorEastAsia" w:hAnsiTheme="minorEastAsia" w:eastAsiaTheme="minorEastAsia"/>
          <w:snapToGrid w:val="0"/>
          <w:szCs w:val="18"/>
        </w:rPr>
        <w:t xml:space="preserve"> </w:t>
      </w:r>
      <w:r>
        <w:rPr>
          <w:rFonts w:hint="eastAsia" w:asciiTheme="minorEastAsia" w:hAnsiTheme="minorEastAsia" w:eastAsiaTheme="minorEastAsia"/>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同意中标后向采购代理机构支付招标文件要求数额的中标服务费。</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9．所有有关本标书的函电，请按下列地址联系：</w:t>
      </w:r>
    </w:p>
    <w:p>
      <w:pPr>
        <w:adjustRightInd w:val="0"/>
        <w:snapToGrid w:val="0"/>
        <w:spacing w:line="360" w:lineRule="auto"/>
        <w:ind w:firstLine="600"/>
      </w:pPr>
    </w:p>
    <w:p>
      <w:pPr>
        <w:adjustRightInd w:val="0"/>
        <w:snapToGrid w:val="0"/>
        <w:spacing w:line="360" w:lineRule="auto"/>
        <w:ind w:firstLine="426"/>
      </w:pPr>
      <w:r>
        <w:t>单    位： （盖章）</w:t>
      </w:r>
    </w:p>
    <w:p>
      <w:pPr>
        <w:adjustRightInd w:val="0"/>
        <w:snapToGrid w:val="0"/>
        <w:spacing w:line="360" w:lineRule="auto"/>
        <w:ind w:firstLine="426"/>
      </w:pPr>
      <w:r>
        <w:t xml:space="preserve">地    址： </w:t>
      </w:r>
    </w:p>
    <w:p>
      <w:pPr>
        <w:adjustRightInd w:val="0"/>
        <w:snapToGrid w:val="0"/>
        <w:spacing w:line="360" w:lineRule="auto"/>
        <w:ind w:firstLine="426"/>
      </w:pPr>
      <w:r>
        <w:t xml:space="preserve">电    话： </w:t>
      </w:r>
    </w:p>
    <w:p>
      <w:pPr>
        <w:adjustRightInd w:val="0"/>
        <w:snapToGrid w:val="0"/>
        <w:spacing w:line="360" w:lineRule="auto"/>
        <w:ind w:firstLine="426"/>
      </w:pPr>
      <w:r>
        <w:t>传    真：</w:t>
      </w:r>
    </w:p>
    <w:p>
      <w:pPr>
        <w:adjustRightInd w:val="0"/>
        <w:snapToGrid w:val="0"/>
        <w:spacing w:line="360" w:lineRule="auto"/>
        <w:ind w:firstLine="426"/>
      </w:pPr>
      <w:r>
        <w:t>邮    编：</w:t>
      </w:r>
    </w:p>
    <w:p>
      <w:pPr>
        <w:adjustRightInd w:val="0"/>
        <w:snapToGrid w:val="0"/>
        <w:spacing w:line="360" w:lineRule="auto"/>
        <w:ind w:firstLine="426"/>
      </w:pPr>
      <w:r>
        <w:t xml:space="preserve">联 系 人： </w:t>
      </w:r>
    </w:p>
    <w:p>
      <w:pPr>
        <w:adjustRightInd w:val="0"/>
        <w:snapToGrid w:val="0"/>
        <w:spacing w:line="360" w:lineRule="auto"/>
        <w:ind w:firstLine="600"/>
      </w:pPr>
    </w:p>
    <w:p>
      <w:pPr>
        <w:adjustRightInd w:val="0"/>
        <w:snapToGrid w:val="0"/>
        <w:spacing w:line="360" w:lineRule="auto"/>
        <w:ind w:firstLine="600"/>
        <w:jc w:val="right"/>
      </w:pPr>
      <w:r>
        <w:rPr>
          <w:rFonts w:hint="eastAsia"/>
        </w:rPr>
        <w:t>年     月    日</w:t>
      </w:r>
    </w:p>
    <w:p>
      <w:pPr>
        <w:adjustRightInd w:val="0"/>
        <w:snapToGrid w:val="0"/>
        <w:spacing w:line="360" w:lineRule="auto"/>
        <w:ind w:firstLine="600"/>
        <w:jc w:val="right"/>
      </w:pPr>
    </w:p>
    <w:p>
      <w:pPr>
        <w:adjustRightInd w:val="0"/>
        <w:spacing w:line="300" w:lineRule="auto"/>
        <w:ind w:hanging="2"/>
        <w:jc w:val="center"/>
        <w:rPr>
          <w:b/>
          <w:snapToGrid w:val="0"/>
          <w:kern w:val="0"/>
          <w:sz w:val="28"/>
        </w:rPr>
      </w:pPr>
    </w:p>
    <w:p>
      <w:pPr>
        <w:tabs>
          <w:tab w:val="left" w:pos="450"/>
        </w:tabs>
        <w:adjustRightInd w:val="0"/>
        <w:spacing w:line="300" w:lineRule="auto"/>
        <w:ind w:hanging="2"/>
        <w:rPr>
          <w:b/>
          <w:snapToGrid w:val="0"/>
          <w:kern w:val="0"/>
          <w:sz w:val="28"/>
        </w:rPr>
      </w:pPr>
      <w:r>
        <w:rPr>
          <w:b/>
          <w:snapToGrid w:val="0"/>
          <w:kern w:val="0"/>
          <w:sz w:val="28"/>
        </w:rPr>
        <w:tab/>
      </w:r>
    </w:p>
    <w:p>
      <w:pPr>
        <w:tabs>
          <w:tab w:val="left" w:pos="371"/>
        </w:tabs>
        <w:spacing w:before="120" w:after="120"/>
        <w:ind w:left="-1" w:leftChars="-1" w:hanging="1"/>
        <w:jc w:val="center"/>
        <w:rPr>
          <w:rFonts w:asciiTheme="minorEastAsia" w:hAnsiTheme="minorEastAsia" w:eastAsiaTheme="minorEastAsia"/>
          <w:sz w:val="24"/>
        </w:rPr>
      </w:pPr>
    </w:p>
    <w:p>
      <w:pPr>
        <w:pStyle w:val="3"/>
        <w:tabs>
          <w:tab w:val="left" w:pos="371"/>
        </w:tabs>
        <w:spacing w:before="120" w:after="120"/>
        <w:ind w:left="-1" w:leftChars="-1" w:hanging="1"/>
        <w:jc w:val="center"/>
        <w:rPr>
          <w:rFonts w:asciiTheme="minorEastAsia" w:hAnsiTheme="minorEastAsia" w:eastAsiaTheme="minorEastAsia"/>
        </w:rPr>
      </w:pPr>
      <w:bookmarkStart w:id="60" w:name="_Toc135293185"/>
      <w:r>
        <w:rPr>
          <w:rFonts w:hint="eastAsia" w:asciiTheme="minorEastAsia" w:hAnsiTheme="minorEastAsia" w:eastAsiaTheme="minorEastAsia"/>
        </w:rPr>
        <w:t>格式4  评分中涉及的承诺及声明函</w:t>
      </w:r>
      <w:bookmarkEnd w:id="60"/>
    </w:p>
    <w:p>
      <w:pPr>
        <w:keepNext/>
        <w:keepLines/>
        <w:tabs>
          <w:tab w:val="left" w:pos="0"/>
        </w:tabs>
        <w:spacing w:before="280" w:after="290" w:line="376" w:lineRule="auto"/>
        <w:jc w:val="center"/>
        <w:outlineLvl w:val="3"/>
        <w:rPr>
          <w:rFonts w:ascii="宋体" w:hAnsi="宋体"/>
          <w:b/>
          <w:bCs/>
          <w:sz w:val="28"/>
          <w:szCs w:val="28"/>
        </w:rPr>
      </w:pPr>
      <w:bookmarkStart w:id="61" w:name="_Toc44690433"/>
      <w:bookmarkStart w:id="62" w:name="_Toc44690706"/>
      <w:bookmarkStart w:id="63" w:name="_Toc44691165"/>
      <w:bookmarkStart w:id="64" w:name="_Toc135293186"/>
      <w:bookmarkStart w:id="65" w:name="_Toc44691397"/>
      <w:r>
        <w:rPr>
          <w:rFonts w:hint="eastAsia" w:ascii="宋体" w:hAnsi="宋体"/>
          <w:b/>
          <w:bCs/>
          <w:sz w:val="28"/>
          <w:szCs w:val="28"/>
        </w:rPr>
        <w:t>列入政府优先采购清单的投标产品一览表</w:t>
      </w:r>
    </w:p>
    <w:tbl>
      <w:tblPr>
        <w:tblStyle w:val="50"/>
        <w:tblW w:w="101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13"/>
        <w:gridCol w:w="1840"/>
        <w:gridCol w:w="818"/>
        <w:gridCol w:w="1241"/>
        <w:gridCol w:w="2292"/>
        <w:gridCol w:w="1503"/>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540" w:type="dxa"/>
            <w:vMerge w:val="restart"/>
            <w:vAlign w:val="center"/>
          </w:tcPr>
          <w:p>
            <w:pPr>
              <w:jc w:val="center"/>
              <w:rPr>
                <w:b/>
                <w:szCs w:val="21"/>
              </w:rPr>
            </w:pPr>
            <w:r>
              <w:rPr>
                <w:rFonts w:hint="eastAsia"/>
                <w:b/>
                <w:szCs w:val="21"/>
              </w:rPr>
              <w:t>序号</w:t>
            </w:r>
          </w:p>
        </w:tc>
        <w:tc>
          <w:tcPr>
            <w:tcW w:w="1213" w:type="dxa"/>
            <w:vMerge w:val="restart"/>
            <w:vAlign w:val="center"/>
          </w:tcPr>
          <w:p>
            <w:pPr>
              <w:jc w:val="center"/>
              <w:rPr>
                <w:b/>
                <w:szCs w:val="21"/>
              </w:rPr>
            </w:pPr>
            <w:r>
              <w:rPr>
                <w:rFonts w:hint="eastAsia"/>
                <w:b/>
                <w:szCs w:val="21"/>
              </w:rPr>
              <w:t>投标产品名称</w:t>
            </w:r>
          </w:p>
        </w:tc>
        <w:tc>
          <w:tcPr>
            <w:tcW w:w="1840" w:type="dxa"/>
            <w:vMerge w:val="restart"/>
            <w:vAlign w:val="center"/>
          </w:tcPr>
          <w:p>
            <w:pPr>
              <w:jc w:val="center"/>
              <w:rPr>
                <w:b/>
                <w:szCs w:val="21"/>
              </w:rPr>
            </w:pPr>
            <w:r>
              <w:rPr>
                <w:rFonts w:hint="eastAsia"/>
                <w:b/>
                <w:szCs w:val="21"/>
              </w:rPr>
              <w:t>规格及型号</w:t>
            </w:r>
          </w:p>
        </w:tc>
        <w:tc>
          <w:tcPr>
            <w:tcW w:w="4351" w:type="dxa"/>
            <w:gridSpan w:val="3"/>
            <w:vAlign w:val="center"/>
          </w:tcPr>
          <w:p>
            <w:pPr>
              <w:jc w:val="center"/>
              <w:rPr>
                <w:b/>
                <w:szCs w:val="21"/>
              </w:rPr>
            </w:pPr>
            <w:r>
              <w:rPr>
                <w:rFonts w:hint="eastAsia"/>
                <w:b/>
                <w:szCs w:val="21"/>
              </w:rPr>
              <w:t>投标产品报价</w:t>
            </w:r>
          </w:p>
        </w:tc>
        <w:tc>
          <w:tcPr>
            <w:tcW w:w="1503" w:type="dxa"/>
            <w:vMerge w:val="restart"/>
            <w:vAlign w:val="center"/>
          </w:tcPr>
          <w:p>
            <w:pPr>
              <w:jc w:val="center"/>
              <w:rPr>
                <w:b/>
                <w:szCs w:val="21"/>
              </w:rPr>
            </w:pPr>
            <w:r>
              <w:rPr>
                <w:rFonts w:hint="eastAsia"/>
                <w:b/>
                <w:szCs w:val="21"/>
              </w:rPr>
              <w:t>属于优先采购清单的类别</w:t>
            </w:r>
          </w:p>
        </w:tc>
        <w:tc>
          <w:tcPr>
            <w:tcW w:w="720" w:type="dxa"/>
            <w:vMerge w:val="restart"/>
            <w:vAlign w:val="center"/>
          </w:tcPr>
          <w:p>
            <w:pPr>
              <w:jc w:val="center"/>
              <w:rPr>
                <w:b/>
                <w:szCs w:val="21"/>
              </w:rPr>
            </w:pPr>
            <w:r>
              <w:rPr>
                <w:rFonts w:hint="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continue"/>
            <w:vAlign w:val="center"/>
          </w:tcPr>
          <w:p>
            <w:pPr>
              <w:rPr>
                <w:szCs w:val="21"/>
              </w:rPr>
            </w:pPr>
          </w:p>
        </w:tc>
        <w:tc>
          <w:tcPr>
            <w:tcW w:w="1213" w:type="dxa"/>
            <w:vMerge w:val="continue"/>
            <w:vAlign w:val="center"/>
          </w:tcPr>
          <w:p>
            <w:pPr>
              <w:rPr>
                <w:szCs w:val="21"/>
              </w:rPr>
            </w:pPr>
          </w:p>
        </w:tc>
        <w:tc>
          <w:tcPr>
            <w:tcW w:w="1840" w:type="dxa"/>
            <w:vMerge w:val="continue"/>
            <w:vAlign w:val="center"/>
          </w:tcPr>
          <w:p>
            <w:pPr>
              <w:rPr>
                <w:szCs w:val="21"/>
              </w:rPr>
            </w:pPr>
          </w:p>
        </w:tc>
        <w:tc>
          <w:tcPr>
            <w:tcW w:w="818" w:type="dxa"/>
            <w:vAlign w:val="center"/>
          </w:tcPr>
          <w:p>
            <w:pPr>
              <w:rPr>
                <w:szCs w:val="21"/>
              </w:rPr>
            </w:pPr>
            <w:r>
              <w:rPr>
                <w:rFonts w:hint="eastAsia"/>
                <w:szCs w:val="21"/>
              </w:rPr>
              <w:t>数量</w:t>
            </w:r>
          </w:p>
        </w:tc>
        <w:tc>
          <w:tcPr>
            <w:tcW w:w="1241" w:type="dxa"/>
            <w:vAlign w:val="center"/>
          </w:tcPr>
          <w:p>
            <w:pPr>
              <w:jc w:val="center"/>
              <w:rPr>
                <w:szCs w:val="21"/>
              </w:rPr>
            </w:pPr>
            <w:r>
              <w:rPr>
                <w:rFonts w:hint="eastAsia"/>
                <w:szCs w:val="21"/>
              </w:rPr>
              <w:t>投标单价（元）</w:t>
            </w:r>
          </w:p>
        </w:tc>
        <w:tc>
          <w:tcPr>
            <w:tcW w:w="2292" w:type="dxa"/>
            <w:vAlign w:val="center"/>
          </w:tcPr>
          <w:p>
            <w:pPr>
              <w:jc w:val="center"/>
              <w:rPr>
                <w:szCs w:val="21"/>
              </w:rPr>
            </w:pPr>
            <w:r>
              <w:rPr>
                <w:rFonts w:hint="eastAsia"/>
                <w:szCs w:val="21"/>
              </w:rPr>
              <w:t>投标</w:t>
            </w:r>
            <w:r>
              <w:rPr>
                <w:rFonts w:hint="eastAsia" w:ascii="宋体" w:hAnsi="宋体"/>
                <w:szCs w:val="21"/>
              </w:rPr>
              <w:t>合计</w:t>
            </w:r>
            <w:r>
              <w:rPr>
                <w:rFonts w:hint="eastAsia"/>
                <w:szCs w:val="21"/>
              </w:rPr>
              <w:t>报价（元）</w:t>
            </w:r>
          </w:p>
        </w:tc>
        <w:tc>
          <w:tcPr>
            <w:tcW w:w="1503" w:type="dxa"/>
            <w:vMerge w:val="continue"/>
            <w:vAlign w:val="center"/>
          </w:tcPr>
          <w:p>
            <w:pPr>
              <w:rPr>
                <w:szCs w:val="21"/>
              </w:rPr>
            </w:pPr>
          </w:p>
        </w:tc>
        <w:tc>
          <w:tcPr>
            <w:tcW w:w="720" w:type="dxa"/>
            <w:vMerge w:val="continue"/>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center"/>
              <w:rPr>
                <w:rFonts w:ascii="宋体" w:hAnsi="宋体"/>
                <w:szCs w:val="21"/>
              </w:rPr>
            </w:pPr>
            <w:r>
              <w:rPr>
                <w:rFonts w:hint="eastAsia" w:ascii="宋体" w:hAnsi="宋体"/>
                <w:szCs w:val="21"/>
              </w:rPr>
              <w:t>1</w:t>
            </w:r>
          </w:p>
        </w:tc>
        <w:tc>
          <w:tcPr>
            <w:tcW w:w="1213" w:type="dxa"/>
            <w:vAlign w:val="center"/>
          </w:tcPr>
          <w:p>
            <w:pPr>
              <w:jc w:val="center"/>
              <w:rPr>
                <w:szCs w:val="21"/>
              </w:rPr>
            </w:pPr>
          </w:p>
        </w:tc>
        <w:tc>
          <w:tcPr>
            <w:tcW w:w="1840" w:type="dxa"/>
            <w:vAlign w:val="center"/>
          </w:tcPr>
          <w:p>
            <w:pPr>
              <w:jc w:val="center"/>
              <w:rPr>
                <w:szCs w:val="21"/>
              </w:rPr>
            </w:pPr>
          </w:p>
        </w:tc>
        <w:tc>
          <w:tcPr>
            <w:tcW w:w="818" w:type="dxa"/>
            <w:vAlign w:val="center"/>
          </w:tcPr>
          <w:p>
            <w:pPr>
              <w:jc w:val="center"/>
              <w:rPr>
                <w:szCs w:val="21"/>
              </w:rPr>
            </w:pPr>
          </w:p>
        </w:tc>
        <w:tc>
          <w:tcPr>
            <w:tcW w:w="1241" w:type="dxa"/>
            <w:vAlign w:val="center"/>
          </w:tcPr>
          <w:p>
            <w:pPr>
              <w:jc w:val="center"/>
              <w:rPr>
                <w:szCs w:val="21"/>
              </w:rPr>
            </w:pPr>
          </w:p>
        </w:tc>
        <w:tc>
          <w:tcPr>
            <w:tcW w:w="2292" w:type="dxa"/>
            <w:vAlign w:val="center"/>
          </w:tcPr>
          <w:p>
            <w:pPr>
              <w:jc w:val="center"/>
              <w:rPr>
                <w:szCs w:val="21"/>
              </w:rPr>
            </w:pPr>
          </w:p>
        </w:tc>
        <w:tc>
          <w:tcPr>
            <w:tcW w:w="1503" w:type="dxa"/>
            <w:vAlign w:val="center"/>
          </w:tcPr>
          <w:p>
            <w:pPr>
              <w:jc w:val="center"/>
              <w:rPr>
                <w:szCs w:val="21"/>
              </w:rPr>
            </w:pPr>
          </w:p>
        </w:tc>
        <w:tc>
          <w:tcPr>
            <w:tcW w:w="720" w:type="dxa"/>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jc w:val="center"/>
              <w:rPr>
                <w:rFonts w:ascii="宋体" w:hAnsi="宋体"/>
                <w:szCs w:val="21"/>
              </w:rPr>
            </w:pPr>
            <w:r>
              <w:rPr>
                <w:rFonts w:hint="eastAsia" w:ascii="宋体" w:hAnsi="宋体"/>
                <w:szCs w:val="21"/>
              </w:rPr>
              <w:t>2</w:t>
            </w:r>
          </w:p>
        </w:tc>
        <w:tc>
          <w:tcPr>
            <w:tcW w:w="1213" w:type="dxa"/>
            <w:vAlign w:val="center"/>
          </w:tcPr>
          <w:p>
            <w:pPr>
              <w:jc w:val="center"/>
              <w:rPr>
                <w:szCs w:val="21"/>
              </w:rPr>
            </w:pPr>
          </w:p>
        </w:tc>
        <w:tc>
          <w:tcPr>
            <w:tcW w:w="1840" w:type="dxa"/>
            <w:vAlign w:val="center"/>
          </w:tcPr>
          <w:p>
            <w:pPr>
              <w:jc w:val="center"/>
              <w:rPr>
                <w:szCs w:val="21"/>
              </w:rPr>
            </w:pPr>
          </w:p>
        </w:tc>
        <w:tc>
          <w:tcPr>
            <w:tcW w:w="818" w:type="dxa"/>
            <w:vAlign w:val="center"/>
          </w:tcPr>
          <w:p>
            <w:pPr>
              <w:jc w:val="center"/>
              <w:rPr>
                <w:szCs w:val="21"/>
              </w:rPr>
            </w:pPr>
          </w:p>
        </w:tc>
        <w:tc>
          <w:tcPr>
            <w:tcW w:w="1241" w:type="dxa"/>
            <w:vAlign w:val="center"/>
          </w:tcPr>
          <w:p>
            <w:pPr>
              <w:jc w:val="center"/>
              <w:rPr>
                <w:szCs w:val="21"/>
              </w:rPr>
            </w:pPr>
          </w:p>
        </w:tc>
        <w:tc>
          <w:tcPr>
            <w:tcW w:w="2292" w:type="dxa"/>
            <w:vAlign w:val="center"/>
          </w:tcPr>
          <w:p>
            <w:pPr>
              <w:jc w:val="center"/>
              <w:rPr>
                <w:szCs w:val="21"/>
              </w:rPr>
            </w:pPr>
          </w:p>
        </w:tc>
        <w:tc>
          <w:tcPr>
            <w:tcW w:w="1503" w:type="dxa"/>
            <w:vAlign w:val="center"/>
          </w:tcPr>
          <w:p>
            <w:pPr>
              <w:jc w:val="center"/>
              <w:rPr>
                <w:szCs w:val="21"/>
              </w:rPr>
            </w:pPr>
          </w:p>
        </w:tc>
        <w:tc>
          <w:tcPr>
            <w:tcW w:w="720" w:type="dxa"/>
            <w:vAlign w:val="center"/>
          </w:tcPr>
          <w:p>
            <w:pPr>
              <w:jc w:val="center"/>
              <w:rPr>
                <w:szCs w:val="21"/>
              </w:rPr>
            </w:pPr>
          </w:p>
        </w:tc>
      </w:tr>
    </w:tbl>
    <w:p>
      <w:pPr>
        <w:spacing w:line="360" w:lineRule="auto"/>
        <w:rPr>
          <w:szCs w:val="21"/>
        </w:rPr>
      </w:pPr>
      <w:r>
        <w:rPr>
          <w:rFonts w:hint="eastAsia"/>
          <w:szCs w:val="21"/>
        </w:rPr>
        <w:t>注</w:t>
      </w:r>
      <w:r>
        <w:rPr>
          <w:rFonts w:hint="eastAsia" w:ascii="宋体" w:hAnsi="宋体"/>
          <w:szCs w:val="21"/>
        </w:rPr>
        <w:t xml:space="preserve">：1. </w:t>
      </w:r>
      <w:r>
        <w:rPr>
          <w:rFonts w:hint="eastAsia" w:ascii="宋体" w:hAnsi="宋体"/>
          <w:b/>
          <w:szCs w:val="21"/>
        </w:rPr>
        <w:t>对</w:t>
      </w:r>
      <w:r>
        <w:rPr>
          <w:rFonts w:ascii="宋体" w:hAnsi="宋体"/>
          <w:b/>
          <w:szCs w:val="21"/>
        </w:rPr>
        <w:t>属于</w:t>
      </w:r>
      <w:r>
        <w:rPr>
          <w:rFonts w:hint="eastAsia" w:ascii="宋体" w:hAnsi="宋体"/>
          <w:b/>
          <w:szCs w:val="21"/>
        </w:rPr>
        <w:t>《关于调整优化节能产品环境标志产品政府采购执行机制的通知》（财库〔2019〕9号）、《关于印发环境标志产品政府采购品目清单的通知》（财库〔2019〕18号）和《关于印发节能产品政府采购品目清单的通知》（财库〔2019〕19号）</w:t>
      </w:r>
      <w:r>
        <w:rPr>
          <w:rFonts w:ascii="宋体" w:hAnsi="宋体"/>
          <w:b/>
          <w:szCs w:val="21"/>
        </w:rPr>
        <w:t>品目清单范围</w:t>
      </w:r>
      <w:r>
        <w:rPr>
          <w:rFonts w:hint="eastAsia" w:ascii="宋体" w:hAnsi="宋体"/>
          <w:b/>
          <w:szCs w:val="21"/>
        </w:rPr>
        <w:t>内</w:t>
      </w:r>
      <w:r>
        <w:rPr>
          <w:rFonts w:ascii="宋体" w:hAnsi="宋体"/>
          <w:b/>
          <w:szCs w:val="21"/>
        </w:rPr>
        <w:t>的</w:t>
      </w:r>
      <w:r>
        <w:rPr>
          <w:rFonts w:hint="eastAsia" w:ascii="宋体" w:hAnsi="宋体"/>
          <w:b/>
          <w:szCs w:val="21"/>
        </w:rPr>
        <w:t>投标产品，投标人须提供</w:t>
      </w:r>
      <w:r>
        <w:rPr>
          <w:rFonts w:ascii="宋体" w:hAnsi="宋体"/>
          <w:b/>
          <w:szCs w:val="21"/>
        </w:rPr>
        <w:t>国家确定的认证机构出具的、处于有效期之内的节能产品、环境标志产品认证证书，</w:t>
      </w:r>
      <w:r>
        <w:rPr>
          <w:rFonts w:hint="eastAsia" w:ascii="宋体" w:hAnsi="宋体"/>
          <w:b/>
          <w:szCs w:val="21"/>
        </w:rPr>
        <w:t>以及相应的节能或环境标志产品政府采购品目清单，并显著标识投标产品所处位置。</w:t>
      </w:r>
      <w:r>
        <w:rPr>
          <w:rFonts w:hint="eastAsia" w:ascii="宋体" w:hAnsi="宋体"/>
          <w:szCs w:val="21"/>
        </w:rPr>
        <w:t>提供以上证明材料的扫描件或复印件加盖投标人公章，提供的证书若存在不齐全、已过有效期或其他未被评标委员会接受的瑕疵将不予认可。</w:t>
      </w:r>
      <w:r>
        <w:rPr>
          <w:rFonts w:hint="eastAsia"/>
          <w:szCs w:val="21"/>
        </w:rPr>
        <w:t>投标产品若不属于上述清单或目录范围内，则无需填写该表。</w:t>
      </w:r>
    </w:p>
    <w:p>
      <w:pPr>
        <w:spacing w:line="360" w:lineRule="auto"/>
        <w:rPr>
          <w:rFonts w:ascii="宋体" w:hAnsi="宋体"/>
          <w:szCs w:val="21"/>
        </w:rPr>
      </w:pPr>
      <w:r>
        <w:rPr>
          <w:rFonts w:hint="eastAsia" w:ascii="宋体" w:hAnsi="宋体"/>
          <w:szCs w:val="21"/>
        </w:rPr>
        <w:t>2. “投标产品报价”栏中须准确填报该投标产品的投标单价、数量及投标合计报价；投标产品名称、规格型号、价格应与“分项报价表”一致，如不一致，以“分项报价表”为准。</w:t>
      </w:r>
    </w:p>
    <w:p>
      <w:pPr>
        <w:spacing w:line="360" w:lineRule="auto"/>
        <w:rPr>
          <w:rFonts w:ascii="宋体" w:hAnsi="宋体"/>
          <w:szCs w:val="21"/>
        </w:rPr>
      </w:pPr>
      <w:r>
        <w:rPr>
          <w:rFonts w:hint="eastAsia" w:ascii="宋体" w:hAnsi="宋体"/>
          <w:szCs w:val="21"/>
        </w:rPr>
        <w:t>3. “属于优先采购清单的类别”栏中填写“节能产品政府采购品目清单”或“环境标志产品政府采购品目清单”。</w:t>
      </w:r>
    </w:p>
    <w:p>
      <w:pPr>
        <w:widowControl/>
        <w:jc w:val="left"/>
      </w:pPr>
      <w:r>
        <w:br w:type="page"/>
      </w:r>
    </w:p>
    <w:p/>
    <w:p>
      <w:pPr>
        <w:pStyle w:val="3"/>
        <w:tabs>
          <w:tab w:val="left" w:pos="371"/>
        </w:tabs>
        <w:spacing w:before="120" w:after="120"/>
        <w:ind w:left="-1" w:leftChars="-1" w:hanging="1"/>
        <w:jc w:val="center"/>
        <w:rPr>
          <w:rFonts w:asciiTheme="minorEastAsia" w:hAnsiTheme="minorEastAsia" w:eastAsiaTheme="minorEastAsia"/>
        </w:rPr>
      </w:pPr>
      <w:r>
        <w:rPr>
          <w:rFonts w:hint="eastAsia" w:asciiTheme="minorEastAsia" w:hAnsiTheme="minorEastAsia" w:eastAsiaTheme="minorEastAsia"/>
        </w:rPr>
        <w:t>格式5  开标一览表</w:t>
      </w:r>
      <w:bookmarkEnd w:id="61"/>
      <w:bookmarkEnd w:id="62"/>
      <w:bookmarkEnd w:id="63"/>
      <w:bookmarkEnd w:id="64"/>
      <w:bookmarkEnd w:id="65"/>
    </w:p>
    <w:p>
      <w:pPr>
        <w:adjustRightInd w:val="0"/>
        <w:snapToGrid w:val="0"/>
        <w:spacing w:line="360" w:lineRule="auto"/>
        <w:rPr>
          <w:bCs/>
          <w:snapToGrid w:val="0"/>
          <w:kern w:val="0"/>
        </w:rPr>
      </w:pPr>
    </w:p>
    <w:p>
      <w:pPr>
        <w:adjustRightInd w:val="0"/>
        <w:snapToGrid w:val="0"/>
        <w:spacing w:line="360" w:lineRule="auto"/>
        <w:rPr>
          <w:bCs/>
          <w:snapToGrid w:val="0"/>
          <w:kern w:val="0"/>
        </w:rPr>
      </w:pPr>
      <w:r>
        <w:rPr>
          <w:bCs/>
          <w:snapToGrid w:val="0"/>
          <w:kern w:val="0"/>
        </w:rPr>
        <w:t>项目名称：</w:t>
      </w:r>
      <w:r>
        <w:rPr>
          <w:bCs/>
          <w:snapToGrid w:val="0"/>
          <w:kern w:val="0"/>
          <w:u w:val="single"/>
        </w:rPr>
        <w:t xml:space="preserve">                      </w:t>
      </w:r>
      <w:r>
        <w:rPr>
          <w:bCs/>
          <w:snapToGrid w:val="0"/>
          <w:kern w:val="0"/>
        </w:rPr>
        <w:t xml:space="preserve">                </w:t>
      </w:r>
    </w:p>
    <w:p>
      <w:pPr>
        <w:adjustRightInd w:val="0"/>
        <w:snapToGrid w:val="0"/>
        <w:spacing w:line="360" w:lineRule="auto"/>
        <w:rPr>
          <w:bCs/>
          <w:snapToGrid w:val="0"/>
          <w:kern w:val="0"/>
        </w:rPr>
      </w:pPr>
      <w:r>
        <w:rPr>
          <w:rFonts w:hint="eastAsia"/>
          <w:bCs/>
          <w:snapToGrid w:val="0"/>
          <w:kern w:val="0"/>
        </w:rPr>
        <w:t>项目</w:t>
      </w:r>
      <w:r>
        <w:rPr>
          <w:bCs/>
          <w:snapToGrid w:val="0"/>
          <w:kern w:val="0"/>
        </w:rPr>
        <w:t>编号：</w:t>
      </w:r>
      <w:r>
        <w:rPr>
          <w:bCs/>
          <w:snapToGrid w:val="0"/>
          <w:kern w:val="0"/>
          <w:u w:val="single"/>
        </w:rPr>
        <w:t xml:space="preserve">                      </w:t>
      </w:r>
      <w:r>
        <w:rPr>
          <w:bCs/>
          <w:snapToGrid w:val="0"/>
          <w:kern w:val="0"/>
        </w:rPr>
        <w:t xml:space="preserve">                                                                     </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5"/>
        <w:gridCol w:w="4330"/>
        <w:gridCol w:w="184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3315"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项目名称</w:t>
            </w:r>
          </w:p>
        </w:tc>
        <w:tc>
          <w:tcPr>
            <w:tcW w:w="4330"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投标</w:t>
            </w:r>
            <w:r>
              <w:rPr>
                <w:rFonts w:hint="eastAsia"/>
                <w:snapToGrid w:val="0"/>
                <w:kern w:val="0"/>
              </w:rPr>
              <w:t>总</w:t>
            </w:r>
            <w:r>
              <w:rPr>
                <w:snapToGrid w:val="0"/>
                <w:kern w:val="0"/>
              </w:rPr>
              <w:t>价</w:t>
            </w:r>
          </w:p>
          <w:p>
            <w:pPr>
              <w:adjustRightInd w:val="0"/>
              <w:snapToGrid w:val="0"/>
              <w:spacing w:line="360" w:lineRule="auto"/>
              <w:jc w:val="center"/>
              <w:rPr>
                <w:snapToGrid w:val="0"/>
                <w:kern w:val="0"/>
              </w:rPr>
            </w:pPr>
            <w:r>
              <w:rPr>
                <w:snapToGrid w:val="0"/>
                <w:kern w:val="0"/>
              </w:rPr>
              <w:t>（人民币元）</w:t>
            </w:r>
          </w:p>
        </w:tc>
        <w:tc>
          <w:tcPr>
            <w:tcW w:w="1843"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rFonts w:hint="eastAsia"/>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419" w:hRule="atLeast"/>
          <w:jc w:val="center"/>
        </w:trPr>
        <w:tc>
          <w:tcPr>
            <w:tcW w:w="3315" w:type="dxa"/>
            <w:tcBorders>
              <w:top w:val="single" w:color="auto" w:sz="4" w:space="0"/>
            </w:tcBorders>
            <w:vAlign w:val="center"/>
          </w:tcPr>
          <w:p>
            <w:pPr>
              <w:adjustRightInd w:val="0"/>
              <w:snapToGrid w:val="0"/>
              <w:spacing w:line="360" w:lineRule="auto"/>
              <w:jc w:val="center"/>
              <w:rPr>
                <w:rFonts w:hint="eastAsia" w:eastAsia="宋体"/>
                <w:lang w:eastAsia="zh-CN"/>
              </w:rPr>
            </w:pPr>
            <w:r>
              <w:rPr>
                <w:rFonts w:hint="eastAsia" w:asciiTheme="minorEastAsia" w:hAnsiTheme="minorEastAsia" w:eastAsiaTheme="minorEastAsia"/>
                <w:lang w:eastAsia="zh-CN"/>
              </w:rPr>
              <w:t>狂犬病免疫效价监测委托业务</w:t>
            </w:r>
          </w:p>
        </w:tc>
        <w:tc>
          <w:tcPr>
            <w:tcW w:w="4330" w:type="dxa"/>
            <w:tcBorders>
              <w:top w:val="single" w:color="auto" w:sz="4" w:space="0"/>
            </w:tcBorders>
            <w:vAlign w:val="center"/>
          </w:tcPr>
          <w:p>
            <w:pPr>
              <w:adjustRightInd w:val="0"/>
              <w:snapToGrid w:val="0"/>
              <w:spacing w:line="360" w:lineRule="auto"/>
              <w:jc w:val="center"/>
              <w:rPr>
                <w:snapToGrid w:val="0"/>
                <w:kern w:val="0"/>
                <w:u w:val="single"/>
              </w:rPr>
            </w:pPr>
          </w:p>
        </w:tc>
        <w:tc>
          <w:tcPr>
            <w:tcW w:w="1843" w:type="dxa"/>
            <w:tcBorders>
              <w:top w:val="single" w:color="auto" w:sz="4" w:space="0"/>
            </w:tcBorders>
            <w:vAlign w:val="center"/>
          </w:tcPr>
          <w:p>
            <w:pPr>
              <w:adjustRightInd w:val="0"/>
              <w:snapToGrid w:val="0"/>
              <w:spacing w:line="360" w:lineRule="auto"/>
              <w:jc w:val="center"/>
              <w:rPr>
                <w:snapToGrid w:val="0"/>
                <w:kern w:val="0"/>
              </w:rPr>
            </w:pPr>
          </w:p>
        </w:tc>
      </w:tr>
    </w:tbl>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投标单位：（盖章）</w:t>
      </w:r>
    </w:p>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法定代表人或其授权代表：（签字）</w:t>
      </w:r>
    </w:p>
    <w:p>
      <w:pPr>
        <w:adjustRightInd w:val="0"/>
        <w:snapToGrid w:val="0"/>
        <w:spacing w:line="360" w:lineRule="auto"/>
        <w:ind w:firstLine="6825" w:firstLineChars="3250"/>
        <w:rPr>
          <w:snapToGrid w:val="0"/>
          <w:kern w:val="0"/>
        </w:rPr>
      </w:pPr>
      <w:r>
        <w:rPr>
          <w:snapToGrid w:val="0"/>
          <w:kern w:val="0"/>
        </w:rPr>
        <w:t>年    月    日</w:t>
      </w:r>
    </w:p>
    <w:p>
      <w:pPr>
        <w:adjustRightInd w:val="0"/>
        <w:snapToGrid w:val="0"/>
        <w:spacing w:line="360" w:lineRule="auto"/>
        <w:ind w:firstLine="1050" w:firstLineChars="500"/>
        <w:rPr>
          <w:snapToGrid w:val="0"/>
          <w:kern w:val="0"/>
        </w:rPr>
      </w:pPr>
    </w:p>
    <w:p>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r>
        <w:rPr>
          <w:rFonts w:hint="eastAsia" w:ascii="宋体" w:hAnsi="宋体"/>
          <w:bCs/>
        </w:rPr>
        <w:t>，允许仅填报小写金额</w:t>
      </w:r>
      <w:r>
        <w:rPr>
          <w:rFonts w:ascii="宋体" w:hAnsi="宋体"/>
          <w:bCs/>
        </w:rPr>
        <w:t>。</w:t>
      </w:r>
    </w:p>
    <w:p>
      <w:pPr>
        <w:adjustRightInd w:val="0"/>
        <w:spacing w:line="312" w:lineRule="auto"/>
        <w:ind w:left="2" w:firstLine="424" w:firstLineChars="202"/>
        <w:rPr>
          <w:rFonts w:ascii="宋体" w:hAnsi="宋体"/>
          <w:bCs/>
        </w:rPr>
      </w:pPr>
      <w:r>
        <w:rPr>
          <w:rFonts w:ascii="宋体" w:hAnsi="宋体"/>
          <w:bCs/>
        </w:rPr>
        <w:t>2、</w:t>
      </w:r>
      <w:r>
        <w:rPr>
          <w:rFonts w:hint="eastAsia" w:ascii="宋体" w:hAnsi="宋体"/>
          <w:szCs w:val="21"/>
        </w:rPr>
        <w:t>投标</w:t>
      </w:r>
      <w:r>
        <w:rPr>
          <w:rFonts w:hint="eastAsia"/>
          <w:snapToGrid w:val="0"/>
          <w:kern w:val="0"/>
        </w:rPr>
        <w:t>总</w:t>
      </w:r>
      <w:r>
        <w:rPr>
          <w:rFonts w:hint="eastAsia" w:ascii="宋体" w:hAnsi="宋体"/>
          <w:szCs w:val="21"/>
        </w:rPr>
        <w:t>价为综合报价，包含完成本项目所需的全部费用</w:t>
      </w:r>
      <w:r>
        <w:rPr>
          <w:rFonts w:hint="eastAsia" w:ascii="宋体" w:hAnsi="宋体"/>
          <w:bCs/>
        </w:rPr>
        <w:t>。</w:t>
      </w:r>
    </w:p>
    <w:p>
      <w:pPr>
        <w:adjustRightInd w:val="0"/>
        <w:spacing w:line="312" w:lineRule="auto"/>
        <w:ind w:left="2" w:firstLine="424" w:firstLineChars="202"/>
        <w:rPr>
          <w:rFonts w:ascii="宋体" w:hAnsi="宋体"/>
          <w:bCs/>
        </w:rPr>
      </w:pPr>
      <w:r>
        <w:rPr>
          <w:rFonts w:hint="eastAsia" w:ascii="宋体" w:hAnsi="宋体"/>
          <w:szCs w:val="21"/>
        </w:rPr>
        <w:t>3、根据《中华人民共和国财政部令第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12" w:lineRule="auto"/>
        <w:ind w:left="2" w:firstLine="420" w:firstLineChars="200"/>
        <w:rPr>
          <w:rFonts w:ascii="宋体" w:hAnsi="宋体"/>
          <w:szCs w:val="21"/>
        </w:rPr>
      </w:pPr>
      <w:r>
        <w:rPr>
          <w:rFonts w:hint="eastAsia" w:ascii="宋体" w:hAnsi="宋体"/>
          <w:szCs w:val="21"/>
        </w:rPr>
        <w:t>4、</w:t>
      </w:r>
      <w:r>
        <w:rPr>
          <w:rFonts w:ascii="宋体" w:hAnsi="宋体"/>
          <w:snapToGrid w:val="0"/>
          <w:kern w:val="0"/>
        </w:rPr>
        <w:t>此表应经法定代表人或其授权委托人签名，并加盖公章。</w:t>
      </w:r>
    </w:p>
    <w:p>
      <w:pPr>
        <w:adjustRightInd w:val="0"/>
        <w:spacing w:line="312" w:lineRule="auto"/>
        <w:ind w:firstLine="437"/>
        <w:rPr>
          <w:b/>
          <w:sz w:val="28"/>
        </w:rPr>
      </w:pPr>
      <w:r>
        <w:rPr>
          <w:rFonts w:hint="eastAsia" w:ascii="宋体" w:hAnsi="宋体"/>
          <w:b/>
          <w:snapToGrid w:val="0"/>
          <w:kern w:val="0"/>
          <w:sz w:val="24"/>
        </w:rPr>
        <w:t>5、</w:t>
      </w:r>
      <w:r>
        <w:rPr>
          <w:rFonts w:ascii="宋体" w:hAnsi="宋体"/>
          <w:b/>
          <w:snapToGrid w:val="0"/>
          <w:kern w:val="0"/>
          <w:sz w:val="24"/>
        </w:rPr>
        <w:t>此表</w:t>
      </w:r>
      <w:r>
        <w:rPr>
          <w:rFonts w:hint="eastAsia" w:ascii="宋体" w:hAnsi="宋体"/>
          <w:b/>
          <w:snapToGrid w:val="0"/>
          <w:kern w:val="0"/>
          <w:sz w:val="24"/>
        </w:rPr>
        <w:t>无</w:t>
      </w:r>
      <w:r>
        <w:rPr>
          <w:rFonts w:ascii="宋体" w:hAnsi="宋体"/>
          <w:b/>
          <w:snapToGrid w:val="0"/>
          <w:kern w:val="0"/>
          <w:sz w:val="24"/>
        </w:rPr>
        <w:t>需装订于正副本内，应按“投标人须知”18.</w:t>
      </w:r>
      <w:r>
        <w:rPr>
          <w:rFonts w:hint="eastAsia" w:ascii="宋体" w:hAnsi="宋体"/>
          <w:b/>
          <w:snapToGrid w:val="0"/>
          <w:kern w:val="0"/>
          <w:sz w:val="24"/>
        </w:rPr>
        <w:t>4</w:t>
      </w:r>
      <w:r>
        <w:rPr>
          <w:rFonts w:ascii="宋体" w:hAnsi="宋体"/>
          <w:b/>
          <w:snapToGrid w:val="0"/>
          <w:kern w:val="0"/>
          <w:sz w:val="24"/>
        </w:rPr>
        <w:t>项要求单独密封。</w:t>
      </w:r>
    </w:p>
    <w:p/>
    <w:p/>
    <w:p/>
    <w:p/>
    <w:p/>
    <w:p/>
    <w:p/>
    <w:p/>
    <w:p/>
    <w:p>
      <w:r>
        <w:br w:type="page"/>
      </w:r>
    </w:p>
    <w:p/>
    <w:p>
      <w:pPr>
        <w:pStyle w:val="3"/>
        <w:tabs>
          <w:tab w:val="left" w:pos="371"/>
        </w:tabs>
        <w:spacing w:before="120" w:after="120"/>
        <w:ind w:left="-1" w:leftChars="-1" w:hanging="1"/>
        <w:jc w:val="center"/>
        <w:rPr>
          <w:rFonts w:asciiTheme="minorEastAsia" w:hAnsiTheme="minorEastAsia" w:eastAsiaTheme="minorEastAsia"/>
        </w:rPr>
      </w:pPr>
      <w:bookmarkStart w:id="66" w:name="_Toc135293187"/>
      <w:bookmarkStart w:id="67" w:name="_Toc44691166"/>
      <w:bookmarkStart w:id="68" w:name="_Toc44690434"/>
      <w:bookmarkStart w:id="69" w:name="_Toc44690707"/>
      <w:bookmarkStart w:id="70" w:name="_Toc44691398"/>
      <w:r>
        <w:rPr>
          <w:rFonts w:hint="eastAsia" w:asciiTheme="minorEastAsia" w:hAnsiTheme="minorEastAsia" w:eastAsiaTheme="minorEastAsia"/>
        </w:rPr>
        <w:t>格式6  报价表</w:t>
      </w:r>
      <w:bookmarkEnd w:id="66"/>
      <w:bookmarkEnd w:id="67"/>
      <w:bookmarkEnd w:id="68"/>
      <w:bookmarkEnd w:id="69"/>
      <w:bookmarkEnd w:id="70"/>
    </w:p>
    <w:p>
      <w:pPr>
        <w:spacing w:line="300" w:lineRule="auto"/>
        <w:rPr>
          <w:rFonts w:ascii="楷体_GB2312" w:eastAsia="楷体_GB2312"/>
          <w:b/>
          <w:sz w:val="24"/>
        </w:rPr>
      </w:pPr>
      <w:r>
        <w:rPr>
          <w:rFonts w:hint="eastAsia" w:ascii="楷体_GB2312" w:eastAsia="楷体_GB2312"/>
          <w:b/>
          <w:sz w:val="24"/>
        </w:rPr>
        <w:t>1   报价要求</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  所有价格应按“招标文件”中规定的货币单位填写。</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投标</w:t>
      </w:r>
      <w:r>
        <w:rPr>
          <w:rFonts w:hint="eastAsia"/>
          <w:snapToGrid w:val="0"/>
          <w:kern w:val="0"/>
        </w:rPr>
        <w:t>报</w:t>
      </w:r>
      <w:r>
        <w:rPr>
          <w:rFonts w:hint="eastAsia" w:asciiTheme="minorEastAsia" w:hAnsiTheme="minorEastAsia" w:eastAsiaTheme="minorEastAsia"/>
          <w:snapToGrid w:val="0"/>
          <w:kern w:val="0"/>
        </w:rPr>
        <w:t>价为综合报价，包含完成本项目所需的全部费用。</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1.3  此表应经法定代表人或授权委托人签名，并加盖公章。</w:t>
      </w:r>
    </w:p>
    <w:p>
      <w:pPr>
        <w:adjustRightInd w:val="0"/>
        <w:snapToGrid w:val="0"/>
        <w:spacing w:line="300" w:lineRule="auto"/>
        <w:rPr>
          <w:snapToGrid w:val="0"/>
          <w:kern w:val="0"/>
        </w:rPr>
      </w:pPr>
    </w:p>
    <w:p>
      <w:pPr>
        <w:spacing w:line="300" w:lineRule="auto"/>
        <w:rPr>
          <w:rFonts w:eastAsia="楷体_GB2312"/>
          <w:b/>
          <w:sz w:val="24"/>
        </w:rPr>
      </w:pPr>
      <w:r>
        <w:rPr>
          <w:rFonts w:hint="eastAsia" w:eastAsia="楷体_GB2312"/>
          <w:b/>
          <w:sz w:val="24"/>
        </w:rPr>
        <w:t>2   报价表</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3588"/>
        <w:gridCol w:w="2664"/>
        <w:gridCol w:w="237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77" w:type="dxa"/>
            <w:vAlign w:val="center"/>
          </w:tcPr>
          <w:p>
            <w:pPr>
              <w:adjustRightInd w:val="0"/>
              <w:snapToGrid w:val="0"/>
              <w:spacing w:line="300" w:lineRule="auto"/>
              <w:jc w:val="center"/>
              <w:rPr>
                <w:b/>
                <w:snapToGrid w:val="0"/>
                <w:kern w:val="0"/>
              </w:rPr>
            </w:pPr>
            <w:r>
              <w:rPr>
                <w:b/>
                <w:snapToGrid w:val="0"/>
                <w:kern w:val="0"/>
              </w:rPr>
              <w:t>序号</w:t>
            </w:r>
          </w:p>
        </w:tc>
        <w:tc>
          <w:tcPr>
            <w:tcW w:w="3588" w:type="dxa"/>
            <w:vAlign w:val="center"/>
          </w:tcPr>
          <w:p>
            <w:pPr>
              <w:adjustRightInd w:val="0"/>
              <w:snapToGrid w:val="0"/>
              <w:spacing w:line="300" w:lineRule="auto"/>
              <w:jc w:val="center"/>
              <w:rPr>
                <w:b/>
                <w:snapToGrid w:val="0"/>
                <w:kern w:val="0"/>
              </w:rPr>
            </w:pPr>
            <w:r>
              <w:rPr>
                <w:rFonts w:hint="eastAsia"/>
                <w:b/>
                <w:snapToGrid w:val="0"/>
                <w:kern w:val="0"/>
              </w:rPr>
              <w:t>项目内容</w:t>
            </w:r>
          </w:p>
        </w:tc>
        <w:tc>
          <w:tcPr>
            <w:tcW w:w="2664" w:type="dxa"/>
            <w:vAlign w:val="center"/>
          </w:tcPr>
          <w:p>
            <w:pPr>
              <w:adjustRightInd w:val="0"/>
              <w:snapToGrid w:val="0"/>
              <w:spacing w:line="300" w:lineRule="auto"/>
              <w:jc w:val="center"/>
              <w:rPr>
                <w:b/>
                <w:snapToGrid w:val="0"/>
                <w:kern w:val="0"/>
              </w:rPr>
            </w:pPr>
            <w:r>
              <w:rPr>
                <w:rFonts w:hint="eastAsia"/>
                <w:b/>
                <w:snapToGrid w:val="0"/>
                <w:kern w:val="0"/>
              </w:rPr>
              <w:t>费用</w:t>
            </w:r>
            <w:r>
              <w:rPr>
                <w:b/>
                <w:snapToGrid w:val="0"/>
                <w:kern w:val="0"/>
              </w:rPr>
              <w:t>（单位：</w:t>
            </w:r>
            <w:r>
              <w:rPr>
                <w:rFonts w:hint="eastAsia"/>
                <w:b/>
                <w:snapToGrid w:val="0"/>
                <w:kern w:val="0"/>
              </w:rPr>
              <w:t>人民币</w:t>
            </w:r>
            <w:r>
              <w:rPr>
                <w:b/>
                <w:snapToGrid w:val="0"/>
                <w:kern w:val="0"/>
              </w:rPr>
              <w:t>元）</w:t>
            </w:r>
          </w:p>
        </w:tc>
        <w:tc>
          <w:tcPr>
            <w:tcW w:w="2376" w:type="dxa"/>
            <w:vAlign w:val="center"/>
          </w:tcPr>
          <w:p>
            <w:pPr>
              <w:adjustRightInd w:val="0"/>
              <w:snapToGrid w:val="0"/>
              <w:spacing w:line="300" w:lineRule="auto"/>
              <w:jc w:val="center"/>
              <w:rPr>
                <w:b/>
                <w:snapToGrid w:val="0"/>
                <w:kern w:val="0"/>
              </w:rPr>
            </w:pPr>
            <w:r>
              <w:rPr>
                <w:rFonts w:hint="eastAsia"/>
                <w:b/>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ascii="宋体" w:hAnsi="宋体"/>
                <w:snapToGrid w:val="0"/>
                <w:kern w:val="0"/>
              </w:rPr>
              <w:t>1</w:t>
            </w:r>
          </w:p>
        </w:tc>
        <w:tc>
          <w:tcPr>
            <w:tcW w:w="3588" w:type="dxa"/>
            <w:vAlign w:val="center"/>
          </w:tcPr>
          <w:p>
            <w:pPr>
              <w:adjustRightInd w:val="0"/>
              <w:snapToGrid w:val="0"/>
              <w:spacing w:line="300" w:lineRule="auto"/>
              <w:rPr>
                <w:rFonts w:ascii="宋体" w:hAnsi="宋体"/>
                <w:snapToGrid w:val="0"/>
                <w:kern w:val="0"/>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2</w:t>
            </w:r>
          </w:p>
        </w:tc>
        <w:tc>
          <w:tcPr>
            <w:tcW w:w="3588" w:type="dxa"/>
            <w:vAlign w:val="center"/>
          </w:tcPr>
          <w:p>
            <w:pPr>
              <w:adjustRightInd w:val="0"/>
              <w:snapToGrid w:val="0"/>
              <w:spacing w:line="300" w:lineRule="auto"/>
              <w:rPr>
                <w:rFonts w:ascii="宋体" w:hAnsi="宋体"/>
                <w:szCs w:val="21"/>
                <w:lang w:val="zh-CN"/>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3</w:t>
            </w:r>
          </w:p>
        </w:tc>
        <w:tc>
          <w:tcPr>
            <w:tcW w:w="3588" w:type="dxa"/>
            <w:vAlign w:val="center"/>
          </w:tcPr>
          <w:p>
            <w:pPr>
              <w:adjustRightInd w:val="0"/>
              <w:snapToGrid w:val="0"/>
              <w:spacing w:line="300" w:lineRule="auto"/>
              <w:rPr>
                <w:rFonts w:ascii="宋体" w:hAnsi="宋体"/>
                <w:szCs w:val="21"/>
                <w:lang w:val="zh-CN"/>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4</w:t>
            </w:r>
          </w:p>
        </w:tc>
        <w:tc>
          <w:tcPr>
            <w:tcW w:w="3588" w:type="dxa"/>
            <w:vAlign w:val="center"/>
          </w:tcPr>
          <w:p>
            <w:pPr>
              <w:adjustRightInd w:val="0"/>
              <w:snapToGrid w:val="0"/>
              <w:spacing w:line="300" w:lineRule="auto"/>
              <w:rPr>
                <w:rFonts w:ascii="宋体" w:hAnsi="宋体"/>
                <w:szCs w:val="21"/>
                <w:lang w:val="zh-CN"/>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4565" w:type="dxa"/>
            <w:gridSpan w:val="2"/>
            <w:vAlign w:val="center"/>
          </w:tcPr>
          <w:p>
            <w:pPr>
              <w:adjustRightInd w:val="0"/>
              <w:snapToGrid w:val="0"/>
              <w:spacing w:line="300" w:lineRule="auto"/>
              <w:jc w:val="center"/>
              <w:rPr>
                <w:snapToGrid w:val="0"/>
                <w:kern w:val="0"/>
              </w:rPr>
            </w:pPr>
            <w:r>
              <w:rPr>
                <w:snapToGrid w:val="0"/>
                <w:kern w:val="0"/>
              </w:rPr>
              <w:t>合   计</w:t>
            </w: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bl>
    <w:p>
      <w:pPr>
        <w:adjustRightInd w:val="0"/>
        <w:snapToGrid w:val="0"/>
        <w:spacing w:line="300" w:lineRule="auto"/>
        <w:rPr>
          <w:snapToGrid w:val="0"/>
          <w:kern w:val="0"/>
        </w:rPr>
      </w:pPr>
    </w:p>
    <w:p>
      <w:pPr>
        <w:spacing w:before="156" w:beforeLines="50" w:after="156" w:afterLines="50"/>
        <w:rPr>
          <w:rFonts w:ascii="宋体" w:hAnsi="宋体"/>
          <w:szCs w:val="21"/>
        </w:rPr>
      </w:pPr>
      <w:r>
        <w:rPr>
          <w:rFonts w:hint="eastAsia" w:ascii="宋体" w:hAnsi="宋体"/>
          <w:szCs w:val="21"/>
        </w:rPr>
        <w:t>备注：1、</w:t>
      </w:r>
      <w:r>
        <w:rPr>
          <w:rFonts w:hint="eastAsia" w:ascii="宋体" w:hAnsi="宋体"/>
          <w:bCs/>
          <w:szCs w:val="21"/>
        </w:rPr>
        <w:t>本表格仅为指导性范本，供应商可根据项目具体情况对各分项内容进行调整。</w:t>
      </w:r>
    </w:p>
    <w:p>
      <w:pPr>
        <w:adjustRightInd w:val="0"/>
        <w:spacing w:before="156" w:beforeLines="50" w:after="156" w:afterLines="50"/>
        <w:jc w:val="left"/>
        <w:rPr>
          <w:snapToGrid w:val="0"/>
          <w:kern w:val="0"/>
          <w:szCs w:val="21"/>
        </w:rPr>
      </w:pPr>
      <w:r>
        <w:rPr>
          <w:rFonts w:hint="eastAsia" w:ascii="宋体" w:hAnsi="宋体"/>
          <w:szCs w:val="21"/>
        </w:rPr>
        <w:t xml:space="preserve">      2、</w:t>
      </w:r>
      <w:r>
        <w:rPr>
          <w:rFonts w:hint="eastAsia" w:asciiTheme="minorEastAsia" w:hAnsiTheme="minorEastAsia" w:eastAsiaTheme="minorEastAsia"/>
        </w:rPr>
        <w:t>开标一览表中的投标</w:t>
      </w:r>
      <w:r>
        <w:rPr>
          <w:rFonts w:hint="eastAsia"/>
          <w:snapToGrid w:val="0"/>
          <w:kern w:val="0"/>
        </w:rPr>
        <w:t>总</w:t>
      </w:r>
      <w:r>
        <w:rPr>
          <w:rFonts w:hint="eastAsia" w:asciiTheme="minorEastAsia" w:hAnsiTheme="minorEastAsia" w:eastAsiaTheme="minorEastAsia"/>
        </w:rPr>
        <w:t>价应与本表中的报价合计金额一致</w:t>
      </w:r>
      <w:r>
        <w:rPr>
          <w:rFonts w:hint="eastAsia" w:ascii="宋体" w:hAnsi="宋体"/>
          <w:szCs w:val="21"/>
        </w:rPr>
        <w:t>。</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法定代表人或其授权代表：（签字）</w:t>
      </w:r>
    </w:p>
    <w:p>
      <w:pPr>
        <w:adjustRightInd w:val="0"/>
        <w:snapToGrid w:val="0"/>
        <w:spacing w:line="300" w:lineRule="auto"/>
        <w:rPr>
          <w:snapToGrid w:val="0"/>
          <w:kern w:val="0"/>
        </w:rPr>
      </w:pPr>
    </w:p>
    <w:p>
      <w:pPr>
        <w:wordWrap w:val="0"/>
        <w:adjustRightInd w:val="0"/>
        <w:snapToGrid w:val="0"/>
        <w:spacing w:line="300" w:lineRule="auto"/>
        <w:jc w:val="right"/>
      </w:pPr>
      <w:r>
        <w:rPr>
          <w:rFonts w:hint="eastAsia"/>
          <w:snapToGrid w:val="0"/>
          <w:kern w:val="0"/>
        </w:rPr>
        <w:t>年    月   日</w:t>
      </w:r>
    </w:p>
    <w:p>
      <w:pPr>
        <w:pStyle w:val="28"/>
        <w:adjustRightInd w:val="0"/>
        <w:snapToGrid w:val="0"/>
        <w:spacing w:line="312" w:lineRule="auto"/>
        <w:jc w:val="center"/>
        <w:rPr>
          <w:rFonts w:ascii="Times New Roman" w:hAnsi="Times New Roman"/>
          <w:b/>
          <w:sz w:val="28"/>
        </w:rPr>
      </w:pPr>
    </w:p>
    <w:p/>
    <w:p/>
    <w:p/>
    <w:p/>
    <w:p/>
    <w:p/>
    <w:p/>
    <w:p/>
    <w:p/>
    <w:p/>
    <w:p/>
    <w:p>
      <w:pPr>
        <w:pStyle w:val="3"/>
        <w:tabs>
          <w:tab w:val="left" w:pos="371"/>
        </w:tabs>
        <w:spacing w:before="120" w:after="120"/>
        <w:ind w:left="-1" w:leftChars="-1" w:hanging="1"/>
        <w:jc w:val="center"/>
        <w:rPr>
          <w:rFonts w:asciiTheme="minorEastAsia" w:hAnsiTheme="minorEastAsia" w:eastAsiaTheme="minorEastAsia"/>
        </w:rPr>
      </w:pPr>
      <w:bookmarkStart w:id="71" w:name="_Toc135293188"/>
      <w:bookmarkStart w:id="72" w:name="_Toc44691399"/>
      <w:bookmarkStart w:id="73" w:name="_Toc44690435"/>
      <w:bookmarkStart w:id="74" w:name="_Toc44691167"/>
      <w:bookmarkStart w:id="75" w:name="_Toc44690708"/>
      <w:r>
        <w:rPr>
          <w:rFonts w:hint="eastAsia" w:asciiTheme="minorEastAsia" w:hAnsiTheme="minorEastAsia" w:eastAsiaTheme="minorEastAsia"/>
        </w:rPr>
        <w:t>格式7  服务方案</w:t>
      </w:r>
      <w:bookmarkEnd w:id="71"/>
      <w:bookmarkEnd w:id="72"/>
      <w:bookmarkEnd w:id="73"/>
      <w:bookmarkEnd w:id="74"/>
      <w:bookmarkEnd w:id="75"/>
    </w:p>
    <w:p>
      <w:pPr>
        <w:pStyle w:val="7"/>
      </w:pPr>
    </w:p>
    <w:p>
      <w:pPr>
        <w:spacing w:line="400" w:lineRule="exact"/>
        <w:ind w:firstLine="422" w:firstLineChars="200"/>
        <w:rPr>
          <w:rFonts w:ascii="宋体" w:hAnsi="宋体"/>
          <w:b/>
          <w:szCs w:val="21"/>
        </w:rPr>
      </w:pPr>
      <w:r>
        <w:rPr>
          <w:rFonts w:hint="eastAsia" w:ascii="宋体" w:hAnsi="宋体"/>
          <w:b/>
          <w:szCs w:val="21"/>
        </w:rPr>
        <w:t>本部分内容是投标人根据项目需求对其投标服务方案的详细描述，主要包括服务方案及拟投入本项目的人员配置等，投标单位自主编写，但应包含下列内容：</w:t>
      </w:r>
    </w:p>
    <w:p>
      <w:pPr>
        <w:spacing w:line="400" w:lineRule="exact"/>
        <w:ind w:firstLine="420" w:firstLineChars="200"/>
        <w:rPr>
          <w:rFonts w:ascii="宋体" w:hAnsi="宋体"/>
          <w:szCs w:val="21"/>
        </w:rPr>
      </w:pPr>
    </w:p>
    <w:p>
      <w:pPr>
        <w:spacing w:line="360" w:lineRule="auto"/>
        <w:ind w:firstLine="420" w:firstLineChars="200"/>
        <w:rPr>
          <w:rFonts w:hint="eastAsia" w:ascii="宋体" w:hAnsi="宋体" w:cs="宋体"/>
          <w:szCs w:val="21"/>
        </w:rPr>
      </w:pPr>
      <w:r>
        <w:rPr>
          <w:rFonts w:hint="eastAsia" w:ascii="宋体" w:hAnsi="宋体"/>
          <w:szCs w:val="21"/>
        </w:rPr>
        <w:t>1、</w:t>
      </w:r>
      <w:r>
        <w:rPr>
          <w:rFonts w:hint="eastAsia" w:ascii="宋体" w:hAnsi="宋体" w:cs="宋体"/>
          <w:szCs w:val="21"/>
        </w:rPr>
        <w:t>服务方案</w:t>
      </w:r>
    </w:p>
    <w:p>
      <w:pPr>
        <w:spacing w:line="360" w:lineRule="auto"/>
        <w:ind w:firstLine="420" w:firstLineChars="200"/>
        <w:rPr>
          <w:rFonts w:hint="eastAsia" w:ascii="宋体" w:hAnsi="宋体" w:cs="宋体"/>
          <w:szCs w:val="21"/>
        </w:rPr>
      </w:pPr>
      <w:r>
        <w:rPr>
          <w:rFonts w:hint="eastAsia" w:ascii="宋体" w:hAnsi="宋体" w:cs="宋体"/>
          <w:szCs w:val="21"/>
          <w:lang w:val="en-US" w:eastAsia="zh-CN"/>
        </w:rPr>
        <w:t>2、</w:t>
      </w:r>
      <w:r>
        <w:rPr>
          <w:rFonts w:hint="eastAsia" w:ascii="宋体" w:hAnsi="宋体" w:cs="宋体"/>
          <w:szCs w:val="21"/>
        </w:rPr>
        <w:t>项目重点难点分析、应对措施及相关的合理化建议</w:t>
      </w:r>
    </w:p>
    <w:p>
      <w:pPr>
        <w:spacing w:line="360" w:lineRule="auto"/>
        <w:ind w:firstLine="420" w:firstLineChars="200"/>
        <w:rPr>
          <w:rFonts w:hint="eastAsia" w:ascii="宋体" w:hAnsi="宋体" w:cs="宋体"/>
          <w:szCs w:val="21"/>
        </w:rPr>
      </w:pPr>
      <w:r>
        <w:rPr>
          <w:rFonts w:hint="eastAsia" w:ascii="宋体" w:hAnsi="宋体" w:cs="宋体"/>
          <w:szCs w:val="21"/>
          <w:lang w:val="en-US" w:eastAsia="zh-CN"/>
        </w:rPr>
        <w:t>3、</w:t>
      </w:r>
      <w:r>
        <w:rPr>
          <w:rFonts w:hint="eastAsia" w:ascii="宋体" w:hAnsi="宋体" w:cs="宋体"/>
          <w:szCs w:val="21"/>
        </w:rPr>
        <w:t>违约承诺</w:t>
      </w:r>
    </w:p>
    <w:p>
      <w:pPr>
        <w:spacing w:line="360" w:lineRule="auto"/>
        <w:ind w:firstLine="420" w:firstLineChars="200"/>
        <w:rPr>
          <w:rFonts w:hint="eastAsia" w:ascii="宋体" w:hAnsi="宋体" w:cs="宋体"/>
          <w:szCs w:val="21"/>
        </w:rPr>
      </w:pPr>
      <w:r>
        <w:rPr>
          <w:rFonts w:hint="eastAsia" w:ascii="宋体" w:hAnsi="宋体" w:cs="宋体"/>
          <w:szCs w:val="21"/>
          <w:lang w:val="en-US" w:eastAsia="zh-CN"/>
        </w:rPr>
        <w:t>4、</w:t>
      </w:r>
      <w:r>
        <w:rPr>
          <w:rFonts w:hint="eastAsia" w:ascii="宋体" w:hAnsi="宋体" w:cs="宋体"/>
          <w:szCs w:val="21"/>
        </w:rPr>
        <w:t>响应时间承诺</w:t>
      </w:r>
    </w:p>
    <w:p>
      <w:pPr>
        <w:spacing w:line="360" w:lineRule="auto"/>
        <w:ind w:firstLine="420" w:firstLineChars="200"/>
        <w:rPr>
          <w:rFonts w:hint="eastAsia" w:ascii="宋体" w:hAnsi="宋体" w:cs="宋体"/>
          <w:szCs w:val="21"/>
        </w:rPr>
      </w:pPr>
      <w:r>
        <w:rPr>
          <w:rFonts w:hint="eastAsia" w:ascii="宋体" w:hAnsi="宋体" w:cs="宋体"/>
          <w:szCs w:val="21"/>
          <w:lang w:val="en-US" w:eastAsia="zh-CN"/>
        </w:rPr>
        <w:t>5、</w:t>
      </w:r>
      <w:r>
        <w:rPr>
          <w:rFonts w:hint="eastAsia" w:ascii="宋体" w:hAnsi="宋体" w:cs="宋体"/>
          <w:szCs w:val="21"/>
        </w:rPr>
        <w:t>项目团队人员要求</w:t>
      </w:r>
    </w:p>
    <w:p>
      <w:pPr>
        <w:spacing w:line="360" w:lineRule="auto"/>
        <w:ind w:firstLine="420" w:firstLineChars="200"/>
        <w:rPr>
          <w:rFonts w:hint="eastAsia" w:ascii="宋体" w:hAnsi="宋体" w:cs="宋体"/>
          <w:szCs w:val="21"/>
        </w:rPr>
      </w:pPr>
      <w:r>
        <w:rPr>
          <w:rFonts w:hint="eastAsia" w:ascii="宋体" w:hAnsi="宋体" w:cs="宋体"/>
          <w:szCs w:val="21"/>
          <w:lang w:val="en-US" w:eastAsia="zh-CN"/>
        </w:rPr>
        <w:t>6、</w:t>
      </w:r>
      <w:r>
        <w:rPr>
          <w:rFonts w:hint="eastAsia" w:ascii="宋体" w:hAnsi="宋体" w:cs="宋体"/>
          <w:szCs w:val="21"/>
        </w:rPr>
        <w:t>企业资质情况</w:t>
      </w:r>
    </w:p>
    <w:p>
      <w:pPr>
        <w:spacing w:line="360" w:lineRule="auto"/>
        <w:ind w:firstLine="420" w:firstLineChars="200"/>
        <w:rPr>
          <w:rFonts w:hint="eastAsia" w:ascii="宋体" w:hAnsi="宋体" w:cs="宋体"/>
          <w:szCs w:val="21"/>
        </w:rPr>
      </w:pPr>
      <w:r>
        <w:rPr>
          <w:rFonts w:hint="eastAsia" w:ascii="宋体" w:hAnsi="宋体" w:cs="宋体"/>
          <w:szCs w:val="21"/>
          <w:lang w:val="en-US" w:eastAsia="zh-CN"/>
        </w:rPr>
        <w:t>7、</w:t>
      </w:r>
      <w:r>
        <w:rPr>
          <w:rFonts w:hint="eastAsia" w:ascii="宋体" w:hAnsi="宋体" w:cs="宋体"/>
          <w:szCs w:val="21"/>
        </w:rPr>
        <w:t>同类项目业绩情况</w:t>
      </w:r>
    </w:p>
    <w:p>
      <w:pPr>
        <w:spacing w:line="360" w:lineRule="auto"/>
        <w:ind w:firstLine="420" w:firstLineChars="200"/>
        <w:rPr>
          <w:rFonts w:ascii="宋体" w:hAnsi="宋体"/>
          <w:szCs w:val="21"/>
        </w:rPr>
      </w:pPr>
      <w:r>
        <w:rPr>
          <w:rFonts w:hint="eastAsia" w:ascii="宋体" w:hAnsi="宋体" w:cs="宋体"/>
          <w:szCs w:val="21"/>
          <w:lang w:val="en-US" w:eastAsia="zh-CN"/>
        </w:rPr>
        <w:t>8、</w:t>
      </w:r>
      <w:r>
        <w:rPr>
          <w:rFonts w:hint="eastAsia" w:ascii="宋体" w:hAnsi="宋体" w:cs="宋体"/>
          <w:szCs w:val="21"/>
        </w:rPr>
        <w:t>诚信评审</w:t>
      </w:r>
    </w:p>
    <w:p>
      <w:pPr>
        <w:spacing w:line="360" w:lineRule="auto"/>
        <w:ind w:left="420"/>
        <w:rPr>
          <w:rFonts w:ascii="宋体" w:hAnsi="宋体"/>
          <w:bCs/>
        </w:rPr>
      </w:pPr>
      <w:r>
        <w:rPr>
          <w:rFonts w:hint="eastAsia" w:ascii="宋体" w:hAnsi="宋体"/>
          <w:bCs/>
          <w:lang w:val="en-US" w:eastAsia="zh-CN"/>
        </w:rPr>
        <w:t>9</w:t>
      </w:r>
      <w:r>
        <w:rPr>
          <w:rFonts w:hint="eastAsia" w:ascii="宋体" w:hAnsi="宋体"/>
          <w:bCs/>
        </w:rPr>
        <w:t>、投标人认为必要的其他方案</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法定代表人或其授权代表：（签字）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rPr>
          <w:rFonts w:hint="eastAsia"/>
        </w:rPr>
      </w:pPr>
      <w:r>
        <w:rPr>
          <w:rFonts w:hint="eastAsia"/>
        </w:rPr>
        <w:br w:type="page"/>
      </w:r>
    </w:p>
    <w:p>
      <w:pPr>
        <w:tabs>
          <w:tab w:val="left" w:pos="8248"/>
          <w:tab w:val="left" w:pos="9368"/>
        </w:tabs>
        <w:spacing w:line="360" w:lineRule="auto"/>
      </w:pPr>
      <w:r>
        <w:rPr>
          <w:rFonts w:hint="eastAsia"/>
        </w:rPr>
        <w:t>附表：</w:t>
      </w:r>
    </w:p>
    <w:p>
      <w:pPr>
        <w:pStyle w:val="359"/>
        <w:jc w:val="center"/>
        <w:rPr>
          <w:rFonts w:ascii="仿宋" w:hAnsi="仿宋" w:eastAsia="仿宋"/>
          <w:b/>
          <w:snapToGrid w:val="0"/>
          <w:sz w:val="28"/>
          <w:szCs w:val="28"/>
        </w:rPr>
      </w:pPr>
      <w:r>
        <w:rPr>
          <w:rFonts w:hint="eastAsia" w:ascii="仿宋" w:hAnsi="仿宋" w:eastAsia="仿宋"/>
          <w:b/>
          <w:snapToGrid w:val="0"/>
          <w:sz w:val="28"/>
          <w:szCs w:val="28"/>
        </w:rPr>
        <w:t>项目人员情况一览表</w:t>
      </w:r>
    </w:p>
    <w:p/>
    <w:tbl>
      <w:tblPr>
        <w:tblStyle w:val="5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4" w:type="dxa"/>
          <w:bottom w:w="0" w:type="dxa"/>
          <w:right w:w="54" w:type="dxa"/>
        </w:tblCellMar>
      </w:tblPr>
      <w:tblGrid>
        <w:gridCol w:w="705"/>
        <w:gridCol w:w="1491"/>
        <w:gridCol w:w="851"/>
        <w:gridCol w:w="567"/>
        <w:gridCol w:w="1308"/>
        <w:gridCol w:w="1544"/>
        <w:gridCol w:w="1260"/>
        <w:gridCol w:w="16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402" w:hRule="atLeast"/>
          <w:jc w:val="center"/>
        </w:trPr>
        <w:tc>
          <w:tcPr>
            <w:tcW w:w="705" w:type="dxa"/>
            <w:vAlign w:val="center"/>
          </w:tcPr>
          <w:p>
            <w:pPr>
              <w:jc w:val="center"/>
              <w:rPr>
                <w:rFonts w:ascii="宋体" w:hAnsi="宋体" w:cs="Courier New"/>
                <w:snapToGrid w:val="0"/>
                <w:szCs w:val="21"/>
              </w:rPr>
            </w:pPr>
            <w:r>
              <w:rPr>
                <w:rFonts w:hint="eastAsia" w:ascii="宋体" w:hAnsi="宋体" w:cs="Courier New"/>
                <w:snapToGrid w:val="0"/>
                <w:szCs w:val="21"/>
              </w:rPr>
              <w:t>序号</w:t>
            </w:r>
          </w:p>
        </w:tc>
        <w:tc>
          <w:tcPr>
            <w:tcW w:w="1491" w:type="dxa"/>
            <w:vAlign w:val="center"/>
          </w:tcPr>
          <w:p>
            <w:pPr>
              <w:jc w:val="center"/>
              <w:rPr>
                <w:rFonts w:ascii="宋体" w:hAnsi="宋体" w:cs="Courier New"/>
                <w:snapToGrid w:val="0"/>
                <w:szCs w:val="21"/>
              </w:rPr>
            </w:pPr>
            <w:r>
              <w:rPr>
                <w:rFonts w:hint="eastAsia" w:ascii="宋体" w:hAnsi="宋体" w:cs="Courier New"/>
                <w:snapToGrid w:val="0"/>
                <w:szCs w:val="21"/>
              </w:rPr>
              <w:t>项目</w:t>
            </w:r>
          </w:p>
        </w:tc>
        <w:tc>
          <w:tcPr>
            <w:tcW w:w="851" w:type="dxa"/>
            <w:vAlign w:val="center"/>
          </w:tcPr>
          <w:p>
            <w:pPr>
              <w:jc w:val="center"/>
              <w:rPr>
                <w:rFonts w:ascii="宋体" w:hAnsi="宋体" w:cs="Courier New"/>
                <w:snapToGrid w:val="0"/>
                <w:szCs w:val="21"/>
              </w:rPr>
            </w:pPr>
            <w:r>
              <w:rPr>
                <w:rFonts w:hint="eastAsia" w:ascii="宋体" w:hAnsi="宋体" w:cs="Courier New"/>
                <w:snapToGrid w:val="0"/>
                <w:szCs w:val="21"/>
              </w:rPr>
              <w:t>姓名</w:t>
            </w:r>
          </w:p>
        </w:tc>
        <w:tc>
          <w:tcPr>
            <w:tcW w:w="567" w:type="dxa"/>
            <w:vAlign w:val="center"/>
          </w:tcPr>
          <w:p>
            <w:pPr>
              <w:jc w:val="center"/>
              <w:rPr>
                <w:rFonts w:ascii="宋体" w:hAnsi="宋体" w:cs="Courier New"/>
                <w:snapToGrid w:val="0"/>
                <w:szCs w:val="21"/>
              </w:rPr>
            </w:pPr>
            <w:r>
              <w:rPr>
                <w:rFonts w:hint="eastAsia" w:ascii="宋体" w:hAnsi="宋体" w:cs="Courier New"/>
                <w:snapToGrid w:val="0"/>
                <w:szCs w:val="21"/>
              </w:rPr>
              <w:t>学历</w:t>
            </w:r>
          </w:p>
        </w:tc>
        <w:tc>
          <w:tcPr>
            <w:tcW w:w="1308" w:type="dxa"/>
            <w:vAlign w:val="center"/>
          </w:tcPr>
          <w:p>
            <w:pPr>
              <w:jc w:val="center"/>
              <w:rPr>
                <w:rFonts w:ascii="宋体" w:hAnsi="宋体" w:cs="Courier New"/>
                <w:snapToGrid w:val="0"/>
                <w:szCs w:val="21"/>
              </w:rPr>
            </w:pPr>
            <w:r>
              <w:rPr>
                <w:rFonts w:hint="eastAsia" w:ascii="宋体" w:hAnsi="宋体" w:cs="Courier New"/>
                <w:snapToGrid w:val="0"/>
                <w:szCs w:val="21"/>
              </w:rPr>
              <w:t>岗位及职务</w:t>
            </w:r>
          </w:p>
        </w:tc>
        <w:tc>
          <w:tcPr>
            <w:tcW w:w="1544" w:type="dxa"/>
            <w:vAlign w:val="center"/>
          </w:tcPr>
          <w:p>
            <w:pPr>
              <w:ind w:right="-53" w:rightChars="-25"/>
              <w:jc w:val="center"/>
              <w:rPr>
                <w:rFonts w:ascii="宋体" w:hAnsi="宋体" w:cs="Courier New"/>
                <w:snapToGrid w:val="0"/>
                <w:szCs w:val="21"/>
              </w:rPr>
            </w:pPr>
            <w:r>
              <w:rPr>
                <w:rFonts w:hint="eastAsia" w:ascii="宋体" w:hAnsi="宋体" w:cs="Courier New"/>
                <w:snapToGrid w:val="0"/>
                <w:szCs w:val="21"/>
              </w:rPr>
              <w:t>持何种资格证件</w:t>
            </w:r>
          </w:p>
        </w:tc>
        <w:tc>
          <w:tcPr>
            <w:tcW w:w="1260" w:type="dxa"/>
            <w:vAlign w:val="center"/>
          </w:tcPr>
          <w:p>
            <w:pPr>
              <w:jc w:val="center"/>
              <w:rPr>
                <w:rFonts w:ascii="宋体" w:hAnsi="宋体" w:cs="Courier New"/>
                <w:snapToGrid w:val="0"/>
                <w:szCs w:val="21"/>
              </w:rPr>
            </w:pPr>
            <w:r>
              <w:rPr>
                <w:rFonts w:hint="eastAsia" w:ascii="宋体" w:hAnsi="宋体" w:cs="Courier New"/>
                <w:snapToGrid w:val="0"/>
                <w:szCs w:val="21"/>
              </w:rPr>
              <w:t>发证时间</w:t>
            </w:r>
          </w:p>
        </w:tc>
        <w:tc>
          <w:tcPr>
            <w:tcW w:w="1620" w:type="dxa"/>
            <w:vAlign w:val="center"/>
          </w:tcPr>
          <w:p>
            <w:pPr>
              <w:jc w:val="center"/>
              <w:rPr>
                <w:rFonts w:ascii="宋体" w:hAnsi="宋体" w:cs="Courier New"/>
                <w:snapToGrid w:val="0"/>
                <w:szCs w:val="21"/>
              </w:rPr>
            </w:pPr>
            <w:r>
              <w:rPr>
                <w:rFonts w:hint="eastAsia" w:ascii="宋体" w:hAnsi="宋体" w:cs="Courier New"/>
                <w:snapToGrid w:val="0"/>
                <w:szCs w:val="21"/>
              </w:rPr>
              <w:t>工作经验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680" w:hRule="exact"/>
          <w:jc w:val="center"/>
        </w:trPr>
        <w:tc>
          <w:tcPr>
            <w:tcW w:w="705" w:type="dxa"/>
            <w:vAlign w:val="center"/>
          </w:tcPr>
          <w:p>
            <w:pPr>
              <w:jc w:val="center"/>
              <w:rPr>
                <w:rFonts w:ascii="宋体" w:hAnsi="宋体" w:cs="Courier New"/>
                <w:snapToGrid w:val="0"/>
                <w:szCs w:val="21"/>
              </w:rPr>
            </w:pPr>
            <w:r>
              <w:rPr>
                <w:rFonts w:ascii="宋体" w:hAnsi="宋体" w:cs="Courier New"/>
                <w:snapToGrid w:val="0"/>
                <w:szCs w:val="21"/>
              </w:rPr>
              <w:t>1</w:t>
            </w:r>
          </w:p>
        </w:tc>
        <w:tc>
          <w:tcPr>
            <w:tcW w:w="1491" w:type="dxa"/>
            <w:vAlign w:val="center"/>
          </w:tcPr>
          <w:p>
            <w:pPr>
              <w:jc w:val="center"/>
              <w:rPr>
                <w:rFonts w:ascii="宋体" w:hAnsi="宋体" w:cs="Courier New"/>
                <w:snapToGrid w:val="0"/>
                <w:szCs w:val="21"/>
              </w:rPr>
            </w:pPr>
            <w:r>
              <w:rPr>
                <w:rFonts w:hint="eastAsia" w:ascii="宋体" w:hAnsi="宋体" w:cs="Courier New"/>
                <w:snapToGrid w:val="0"/>
                <w:szCs w:val="21"/>
              </w:rPr>
              <w:t>项目负责人</w:t>
            </w:r>
          </w:p>
        </w:tc>
        <w:tc>
          <w:tcPr>
            <w:tcW w:w="851" w:type="dxa"/>
            <w:vAlign w:val="center"/>
          </w:tcPr>
          <w:p>
            <w:pPr>
              <w:rPr>
                <w:rFonts w:ascii="宋体" w:hAnsi="宋体" w:cs="Courier New"/>
                <w:snapToGrid w:val="0"/>
                <w:szCs w:val="21"/>
              </w:rPr>
            </w:pPr>
          </w:p>
        </w:tc>
        <w:tc>
          <w:tcPr>
            <w:tcW w:w="567" w:type="dxa"/>
            <w:vAlign w:val="center"/>
          </w:tcPr>
          <w:p>
            <w:pPr>
              <w:rPr>
                <w:rFonts w:ascii="宋体" w:hAnsi="宋体" w:cs="Courier New"/>
                <w:snapToGrid w:val="0"/>
                <w:szCs w:val="21"/>
              </w:rPr>
            </w:pPr>
          </w:p>
        </w:tc>
        <w:tc>
          <w:tcPr>
            <w:tcW w:w="1308" w:type="dxa"/>
            <w:vAlign w:val="center"/>
          </w:tcPr>
          <w:p>
            <w:pPr>
              <w:rPr>
                <w:rFonts w:ascii="宋体" w:hAnsi="宋体" w:cs="Courier New"/>
                <w:snapToGrid w:val="0"/>
                <w:szCs w:val="21"/>
              </w:rPr>
            </w:pPr>
          </w:p>
        </w:tc>
        <w:tc>
          <w:tcPr>
            <w:tcW w:w="1544" w:type="dxa"/>
            <w:vAlign w:val="center"/>
          </w:tcPr>
          <w:p>
            <w:pPr>
              <w:rPr>
                <w:rFonts w:ascii="宋体" w:hAnsi="宋体" w:cs="Courier New"/>
                <w:snapToGrid w:val="0"/>
                <w:szCs w:val="21"/>
              </w:rPr>
            </w:pPr>
          </w:p>
        </w:tc>
        <w:tc>
          <w:tcPr>
            <w:tcW w:w="1260" w:type="dxa"/>
            <w:vAlign w:val="center"/>
          </w:tcPr>
          <w:p>
            <w:pPr>
              <w:rPr>
                <w:rFonts w:ascii="宋体" w:hAnsi="宋体" w:cs="Courier New"/>
                <w:snapToGrid w:val="0"/>
                <w:szCs w:val="21"/>
              </w:rPr>
            </w:pPr>
          </w:p>
        </w:tc>
        <w:tc>
          <w:tcPr>
            <w:tcW w:w="1620" w:type="dxa"/>
            <w:vAlign w:val="center"/>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2</w:t>
            </w:r>
          </w:p>
        </w:tc>
        <w:tc>
          <w:tcPr>
            <w:tcW w:w="1491" w:type="dxa"/>
            <w:vMerge w:val="restart"/>
            <w:vAlign w:val="center"/>
          </w:tcPr>
          <w:p>
            <w:pPr>
              <w:jc w:val="center"/>
              <w:rPr>
                <w:rFonts w:ascii="宋体" w:hAnsi="宋体" w:cs="Courier New"/>
                <w:snapToGrid w:val="0"/>
                <w:szCs w:val="21"/>
              </w:rPr>
            </w:pPr>
            <w:r>
              <w:rPr>
                <w:rFonts w:hint="eastAsia" w:ascii="宋体" w:hAnsi="宋体" w:cs="Courier New"/>
                <w:snapToGrid w:val="0"/>
                <w:szCs w:val="21"/>
              </w:rPr>
              <w:t>项目团队成员</w:t>
            </w: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3</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4</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5</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6</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7</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8</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9</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bl>
    <w:p>
      <w:pPr>
        <w:autoSpaceDE w:val="0"/>
        <w:autoSpaceDN w:val="0"/>
        <w:adjustRightInd w:val="0"/>
        <w:spacing w:line="360" w:lineRule="auto"/>
        <w:rPr>
          <w:rFonts w:ascii="宋体" w:hAnsi="宋体"/>
          <w:szCs w:val="21"/>
          <w:lang w:val="zh-CN"/>
        </w:rPr>
      </w:pPr>
      <w:r>
        <w:rPr>
          <w:rFonts w:hint="eastAsia" w:ascii="宋体" w:hAnsi="宋体"/>
          <w:szCs w:val="21"/>
          <w:lang w:val="zh-CN"/>
        </w:rPr>
        <w:t xml:space="preserve">注： </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1、填写时，如本表格不适合投标单位的实际情况，可根据本表格格式自行划表填写。</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2、有关人员简历及资格证书及其它证明材料（复印件或扫描件加盖公章）需附在本表之后。</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3、本表格所要求填写的人员是指投标单位将安排在此项目的具体人员。</w:t>
      </w:r>
    </w:p>
    <w:p>
      <w:pPr>
        <w:spacing w:line="360" w:lineRule="auto"/>
        <w:rPr>
          <w:rFonts w:cs="Courier New"/>
          <w:snapToGrid w:val="0"/>
          <w:szCs w:val="18"/>
        </w:rPr>
      </w:pPr>
    </w:p>
    <w:p>
      <w:pPr>
        <w:spacing w:line="360" w:lineRule="auto"/>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法定代表人或其授权代表：（签字）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pStyle w:val="28"/>
        <w:adjustRightInd w:val="0"/>
        <w:snapToGrid w:val="0"/>
        <w:spacing w:line="312" w:lineRule="auto"/>
        <w:jc w:val="center"/>
        <w:rPr>
          <w:rFonts w:ascii="Times New Roman" w:hAnsi="Times New Roman"/>
          <w:b/>
          <w:sz w:val="28"/>
        </w:rPr>
      </w:pPr>
    </w:p>
    <w:p/>
    <w:p/>
    <w:p/>
    <w:p/>
    <w:p/>
    <w:p>
      <w:pPr>
        <w:pStyle w:val="3"/>
        <w:tabs>
          <w:tab w:val="left" w:pos="371"/>
        </w:tabs>
        <w:spacing w:before="120" w:after="120"/>
        <w:ind w:left="-1" w:leftChars="-1" w:hanging="1"/>
        <w:jc w:val="center"/>
        <w:rPr>
          <w:rFonts w:asciiTheme="minorEastAsia" w:hAnsiTheme="minorEastAsia" w:eastAsiaTheme="minorEastAsia"/>
        </w:rPr>
      </w:pPr>
      <w:bookmarkStart w:id="76" w:name="_Toc135293189"/>
      <w:r>
        <w:rPr>
          <w:rFonts w:asciiTheme="minorEastAsia" w:hAnsiTheme="minorEastAsia" w:eastAsiaTheme="minorEastAsia"/>
        </w:rPr>
        <w:t>格式</w:t>
      </w:r>
      <w:r>
        <w:rPr>
          <w:rFonts w:hint="eastAsia" w:asciiTheme="minorEastAsia" w:hAnsiTheme="minorEastAsia" w:eastAsiaTheme="minorEastAsia"/>
        </w:rPr>
        <w:t>8</w:t>
      </w:r>
      <w:r>
        <w:rPr>
          <w:rFonts w:asciiTheme="minorEastAsia" w:hAnsiTheme="minorEastAsia" w:eastAsiaTheme="minorEastAsia"/>
        </w:rPr>
        <w:t xml:space="preserve">  </w:t>
      </w:r>
      <w:r>
        <w:rPr>
          <w:rFonts w:hint="eastAsia" w:asciiTheme="minorEastAsia" w:hAnsiTheme="minorEastAsia" w:eastAsiaTheme="minorEastAsia"/>
        </w:rPr>
        <w:t>投标人情况介绍</w:t>
      </w:r>
      <w:bookmarkEnd w:id="76"/>
    </w:p>
    <w:p/>
    <w:p>
      <w:pPr>
        <w:adjustRightInd w:val="0"/>
        <w:snapToGrid w:val="0"/>
        <w:spacing w:line="360" w:lineRule="auto"/>
        <w:rPr>
          <w:rFonts w:ascii="宋体" w:hAnsi="宋体"/>
          <w:bCs/>
          <w:snapToGrid w:val="0"/>
          <w:kern w:val="0"/>
        </w:rPr>
      </w:pPr>
      <w:r>
        <w:rPr>
          <w:rFonts w:ascii="宋体" w:hAnsi="宋体"/>
          <w:bCs/>
          <w:snapToGrid w:val="0"/>
          <w:kern w:val="0"/>
        </w:rPr>
        <w:t>1、</w:t>
      </w:r>
      <w:r>
        <w:rPr>
          <w:rFonts w:hint="eastAsia" w:ascii="宋体" w:hAnsi="宋体"/>
          <w:bCs/>
          <w:snapToGrid w:val="0"/>
          <w:kern w:val="0"/>
        </w:rPr>
        <w:t>投标人基本情况简介，格式自拟，包括但不限于经营范围、依法纳税记录等；</w:t>
      </w:r>
    </w:p>
    <w:p>
      <w:pPr>
        <w:adjustRightInd w:val="0"/>
        <w:snapToGrid w:val="0"/>
        <w:spacing w:line="360" w:lineRule="auto"/>
        <w:rPr>
          <w:rFonts w:ascii="宋体" w:hAnsi="宋体"/>
          <w:bCs/>
          <w:snapToGrid w:val="0"/>
          <w:kern w:val="0"/>
          <w:szCs w:val="21"/>
        </w:rPr>
      </w:pPr>
    </w:p>
    <w:p>
      <w:pPr>
        <w:adjustRightInd w:val="0"/>
        <w:snapToGrid w:val="0"/>
        <w:spacing w:line="360" w:lineRule="auto"/>
        <w:rPr>
          <w:rFonts w:ascii="宋体" w:hAnsi="宋体"/>
          <w:snapToGrid w:val="0"/>
          <w:kern w:val="0"/>
          <w:szCs w:val="21"/>
        </w:rPr>
      </w:pPr>
      <w:r>
        <w:rPr>
          <w:rFonts w:hint="eastAsia" w:ascii="宋体" w:hAnsi="宋体"/>
          <w:bCs/>
          <w:snapToGrid w:val="0"/>
          <w:kern w:val="0"/>
          <w:szCs w:val="21"/>
        </w:rPr>
        <w:t>2、</w:t>
      </w:r>
      <w:r>
        <w:rPr>
          <w:rFonts w:hint="eastAsia" w:ascii="宋体" w:hAnsi="宋体"/>
          <w:bCs/>
          <w:snapToGrid w:val="0"/>
          <w:kern w:val="0"/>
        </w:rPr>
        <w:t>投标人认为有必要提供的其他文件。</w:t>
      </w:r>
    </w:p>
    <w:p>
      <w:pPr>
        <w:adjustRightInd w:val="0"/>
        <w:snapToGrid w:val="0"/>
        <w:spacing w:line="360" w:lineRule="auto"/>
        <w:rPr>
          <w:bCs/>
          <w:snapToGrid w:val="0"/>
          <w:kern w:val="0"/>
        </w:rPr>
      </w:pPr>
    </w:p>
    <w:p>
      <w:pPr>
        <w:adjustRightInd w:val="0"/>
        <w:snapToGrid w:val="0"/>
        <w:spacing w:line="360" w:lineRule="auto"/>
        <w:rPr>
          <w:rFonts w:eastAsia="楷体_GB2312"/>
          <w:b/>
          <w:bCs/>
          <w:snapToGrid w:val="0"/>
          <w:kern w:val="0"/>
        </w:rPr>
      </w:pPr>
      <w:r>
        <w:rPr>
          <w:rFonts w:hint="eastAsia" w:eastAsia="楷体_GB2312"/>
          <w:b/>
          <w:bCs/>
          <w:snapToGrid w:val="0"/>
          <w:kern w:val="0"/>
        </w:rPr>
        <w:t>注：投标人提供的以上资料若为复印件或扫描件需加盖投标人公章</w:t>
      </w:r>
    </w:p>
    <w:p>
      <w:pPr>
        <w:rPr>
          <w:rFonts w:ascii="宋体" w:hAnsi="宋体"/>
          <w:sz w:val="28"/>
        </w:rPr>
      </w:pPr>
    </w:p>
    <w:p/>
    <w:p/>
    <w:p/>
    <w:p/>
    <w:p/>
    <w:p/>
    <w:p/>
    <w:p/>
    <w:p/>
    <w:p/>
    <w:p/>
    <w:p/>
    <w:p/>
    <w:p/>
    <w:p/>
    <w:p/>
    <w:p/>
    <w:p/>
    <w:p/>
    <w:p/>
    <w:p/>
    <w:p/>
    <w:p/>
    <w:p/>
    <w:p/>
    <w:p/>
    <w:p/>
    <w:p/>
    <w:p/>
    <w:p/>
    <w:p/>
    <w:p/>
    <w:p/>
    <w:p/>
    <w:p>
      <w:pPr>
        <w:pStyle w:val="3"/>
        <w:tabs>
          <w:tab w:val="left" w:pos="371"/>
        </w:tabs>
        <w:spacing w:before="120" w:after="120"/>
        <w:ind w:left="-1" w:leftChars="-1" w:hanging="1"/>
        <w:jc w:val="center"/>
        <w:rPr>
          <w:rFonts w:asciiTheme="minorEastAsia" w:hAnsiTheme="minorEastAsia" w:eastAsiaTheme="minorEastAsia"/>
        </w:rPr>
      </w:pPr>
      <w:bookmarkStart w:id="77" w:name="_Toc44691168"/>
      <w:bookmarkStart w:id="78" w:name="_Toc135293190"/>
      <w:bookmarkStart w:id="79" w:name="_Toc44691400"/>
      <w:bookmarkStart w:id="80" w:name="_Toc44690709"/>
      <w:bookmarkStart w:id="81" w:name="_Toc44690436"/>
      <w:r>
        <w:rPr>
          <w:rFonts w:hint="eastAsia" w:asciiTheme="minorEastAsia" w:hAnsiTheme="minorEastAsia" w:eastAsiaTheme="minorEastAsia"/>
        </w:rPr>
        <w:t>格式9  偏离表</w:t>
      </w:r>
      <w:bookmarkEnd w:id="77"/>
      <w:bookmarkEnd w:id="78"/>
      <w:bookmarkEnd w:id="79"/>
      <w:bookmarkEnd w:id="80"/>
      <w:bookmarkEnd w:id="81"/>
    </w:p>
    <w:p>
      <w:pPr>
        <w:adjustRightInd w:val="0"/>
        <w:snapToGrid w:val="0"/>
        <w:spacing w:line="360" w:lineRule="auto"/>
        <w:rPr>
          <w:rFonts w:ascii="宋体" w:hAnsi="宋体"/>
        </w:rPr>
      </w:pPr>
    </w:p>
    <w:p>
      <w:pPr>
        <w:snapToGrid w:val="0"/>
        <w:spacing w:line="360" w:lineRule="auto"/>
        <w:jc w:val="center"/>
        <w:rPr>
          <w:b/>
          <w:sz w:val="24"/>
        </w:rPr>
      </w:pPr>
      <w:r>
        <w:rPr>
          <w:rFonts w:hint="eastAsia"/>
          <w:b/>
          <w:sz w:val="24"/>
        </w:rPr>
        <w:t>招标项目需求偏离表</w:t>
      </w:r>
    </w:p>
    <w:tbl>
      <w:tblPr>
        <w:tblStyle w:val="50"/>
        <w:tblW w:w="101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010"/>
        <w:gridCol w:w="3544"/>
        <w:gridCol w:w="1984"/>
        <w:gridCol w:w="1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75" w:type="dxa"/>
            <w:vAlign w:val="center"/>
          </w:tcPr>
          <w:p>
            <w:pPr>
              <w:rPr>
                <w:rFonts w:ascii="宋体" w:hAnsi="宋体"/>
                <w:szCs w:val="21"/>
              </w:rPr>
            </w:pPr>
            <w:r>
              <w:rPr>
                <w:rFonts w:hint="eastAsia" w:ascii="宋体" w:hAnsi="宋体"/>
                <w:szCs w:val="21"/>
              </w:rPr>
              <w:t>序号</w:t>
            </w:r>
          </w:p>
        </w:tc>
        <w:tc>
          <w:tcPr>
            <w:tcW w:w="2010" w:type="dxa"/>
            <w:vAlign w:val="center"/>
          </w:tcPr>
          <w:p>
            <w:pPr>
              <w:ind w:left="136" w:leftChars="65"/>
              <w:jc w:val="center"/>
              <w:rPr>
                <w:rFonts w:ascii="宋体" w:hAnsi="宋体"/>
                <w:szCs w:val="21"/>
              </w:rPr>
            </w:pPr>
            <w:r>
              <w:rPr>
                <w:rFonts w:hint="eastAsia" w:ascii="宋体" w:hAnsi="宋体"/>
                <w:szCs w:val="21"/>
              </w:rPr>
              <w:t>招标项目需求</w:t>
            </w:r>
          </w:p>
        </w:tc>
        <w:tc>
          <w:tcPr>
            <w:tcW w:w="3544" w:type="dxa"/>
            <w:vAlign w:val="center"/>
          </w:tcPr>
          <w:p>
            <w:pPr>
              <w:ind w:left="136" w:leftChars="65"/>
              <w:jc w:val="center"/>
              <w:rPr>
                <w:rFonts w:ascii="宋体" w:hAnsi="宋体"/>
                <w:szCs w:val="21"/>
              </w:rPr>
            </w:pPr>
            <w:r>
              <w:rPr>
                <w:rFonts w:hint="eastAsia" w:ascii="宋体" w:hAnsi="宋体"/>
                <w:szCs w:val="21"/>
              </w:rPr>
              <w:t>投标文件响应</w:t>
            </w:r>
          </w:p>
        </w:tc>
        <w:tc>
          <w:tcPr>
            <w:tcW w:w="1984" w:type="dxa"/>
            <w:vAlign w:val="center"/>
          </w:tcPr>
          <w:p>
            <w:pPr>
              <w:ind w:left="136" w:leftChars="65"/>
              <w:jc w:val="center"/>
              <w:rPr>
                <w:rFonts w:ascii="宋体" w:hAnsi="宋体"/>
                <w:szCs w:val="21"/>
              </w:rPr>
            </w:pPr>
            <w:r>
              <w:rPr>
                <w:rFonts w:hint="eastAsia" w:ascii="宋体" w:hAnsi="宋体"/>
                <w:szCs w:val="21"/>
              </w:rPr>
              <w:t>偏离情况</w:t>
            </w:r>
          </w:p>
        </w:tc>
        <w:tc>
          <w:tcPr>
            <w:tcW w:w="1974" w:type="dxa"/>
            <w:vAlign w:val="center"/>
          </w:tcPr>
          <w:p>
            <w:pPr>
              <w:ind w:left="136" w:leftChars="65"/>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0187" w:type="dxa"/>
            <w:gridSpan w:val="5"/>
          </w:tcPr>
          <w:p>
            <w:pPr>
              <w:ind w:left="137" w:leftChars="1" w:hanging="135" w:hangingChars="64"/>
              <w:jc w:val="center"/>
              <w:rPr>
                <w:rFonts w:ascii="宋体" w:hAnsi="宋体"/>
                <w:szCs w:val="21"/>
              </w:rPr>
            </w:pPr>
            <w:r>
              <w:rPr>
                <w:rFonts w:hint="eastAsia" w:ascii="宋体" w:hAnsi="宋体"/>
                <w:b/>
                <w:kern w:val="0"/>
                <w:szCs w:val="21"/>
              </w:rPr>
              <w:t>招标项目需求中</w:t>
            </w:r>
            <w:r>
              <w:rPr>
                <w:rFonts w:hint="eastAsia" w:ascii="宋体" w:hAnsi="宋体"/>
                <w:b/>
                <w:color w:val="FF0000"/>
                <w:kern w:val="0"/>
                <w:szCs w:val="21"/>
              </w:rPr>
              <w:t>带★</w:t>
            </w:r>
            <w:r>
              <w:rPr>
                <w:rFonts w:hint="eastAsia" w:ascii="宋体" w:hAnsi="宋体" w:cs="Arial"/>
                <w:b/>
                <w:color w:val="FF0000"/>
              </w:rPr>
              <w:t>号</w:t>
            </w:r>
            <w:r>
              <w:rPr>
                <w:rFonts w:hint="eastAsia" w:ascii="宋体" w:hAnsi="宋体" w:cs="Arial"/>
                <w:b/>
              </w:rPr>
              <w:t>条款（如有）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3" w:hRule="atLeast"/>
          <w:jc w:val="center"/>
        </w:trPr>
        <w:tc>
          <w:tcPr>
            <w:tcW w:w="675" w:type="dxa"/>
            <w:vAlign w:val="center"/>
          </w:tcPr>
          <w:p>
            <w:pPr>
              <w:ind w:left="136" w:leftChars="65"/>
              <w:jc w:val="center"/>
              <w:rPr>
                <w:rFonts w:ascii="宋体" w:hAnsi="宋体"/>
                <w:szCs w:val="21"/>
              </w:rPr>
            </w:pPr>
            <w:r>
              <w:rPr>
                <w:rFonts w:hint="eastAsia" w:ascii="宋体" w:hAnsi="宋体"/>
                <w:szCs w:val="21"/>
              </w:rPr>
              <w:t>1</w:t>
            </w:r>
          </w:p>
        </w:tc>
        <w:tc>
          <w:tcPr>
            <w:tcW w:w="2010" w:type="dxa"/>
            <w:vAlign w:val="center"/>
          </w:tcPr>
          <w:p>
            <w:pPr>
              <w:rPr>
                <w:rFonts w:ascii="宋体" w:hAnsi="宋体"/>
                <w:b/>
                <w:color w:val="FF0000"/>
              </w:rPr>
            </w:pPr>
            <w:r>
              <w:rPr>
                <w:rFonts w:hint="eastAsia" w:ascii="宋体" w:hAnsi="宋体"/>
                <w:b/>
                <w:color w:val="FF0000"/>
              </w:rPr>
              <w:t>招标文件第二章《项目需求》中所有带</w:t>
            </w:r>
            <w:r>
              <w:rPr>
                <w:rFonts w:hint="eastAsia" w:ascii="宋体" w:hAnsi="宋体"/>
                <w:b/>
                <w:color w:val="FF0000"/>
                <w:kern w:val="0"/>
                <w:szCs w:val="21"/>
              </w:rPr>
              <w:t>★号条款</w:t>
            </w:r>
            <w:r>
              <w:rPr>
                <w:rFonts w:hint="eastAsia" w:ascii="宋体" w:hAnsi="宋体"/>
                <w:b/>
                <w:color w:val="FF0000"/>
              </w:rPr>
              <w:t>的要求</w:t>
            </w:r>
          </w:p>
        </w:tc>
        <w:tc>
          <w:tcPr>
            <w:tcW w:w="3544" w:type="dxa"/>
            <w:vAlign w:val="center"/>
          </w:tcPr>
          <w:p>
            <w:pPr>
              <w:rPr>
                <w:rFonts w:ascii="宋体" w:hAnsi="宋体" w:cs="Arial"/>
                <w:color w:val="0000FF"/>
                <w:sz w:val="20"/>
                <w:szCs w:val="18"/>
              </w:rPr>
            </w:pPr>
            <w:r>
              <w:rPr>
                <w:rFonts w:hint="eastAsia" w:ascii="宋体" w:hAnsi="宋体" w:cs="Arial"/>
                <w:b/>
                <w:color w:val="0000FF"/>
                <w:sz w:val="20"/>
                <w:szCs w:val="18"/>
              </w:rPr>
              <w:t>【填写说明：</w:t>
            </w:r>
            <w:r>
              <w:rPr>
                <w:rFonts w:hint="eastAsia" w:ascii="宋体" w:hAnsi="宋体" w:cs="Arial"/>
                <w:color w:val="0000FF"/>
                <w:sz w:val="20"/>
                <w:szCs w:val="18"/>
              </w:rPr>
              <w:t>此项投标人必须完全响应满足，请投标人于“投标文件响应”栏中填写</w:t>
            </w:r>
            <w:r>
              <w:rPr>
                <w:rFonts w:hint="eastAsia" w:ascii="宋体" w:hAnsi="宋体" w:cs="Arial"/>
                <w:b/>
                <w:color w:val="0000FF"/>
                <w:sz w:val="20"/>
                <w:szCs w:val="18"/>
              </w:rPr>
              <w:t>“完全响应满足招标文件第二章《项目需求》中所有带★号条款的要求”</w:t>
            </w:r>
            <w:r>
              <w:rPr>
                <w:rFonts w:hint="eastAsia" w:ascii="宋体" w:hAnsi="宋体" w:cs="Arial"/>
                <w:color w:val="0000FF"/>
                <w:sz w:val="20"/>
                <w:szCs w:val="18"/>
              </w:rPr>
              <w:t>。无需另行编制填写内容。】</w:t>
            </w:r>
          </w:p>
        </w:tc>
        <w:tc>
          <w:tcPr>
            <w:tcW w:w="1984" w:type="dxa"/>
            <w:vAlign w:val="center"/>
          </w:tcPr>
          <w:p>
            <w:pPr>
              <w:ind w:left="136" w:leftChars="65"/>
              <w:jc w:val="center"/>
              <w:rPr>
                <w:rFonts w:ascii="宋体" w:hAnsi="宋体"/>
                <w:szCs w:val="21"/>
              </w:rPr>
            </w:pPr>
          </w:p>
        </w:tc>
        <w:tc>
          <w:tcPr>
            <w:tcW w:w="1974" w:type="dxa"/>
            <w:vAlign w:val="center"/>
          </w:tcPr>
          <w:p>
            <w:pPr>
              <w:ind w:left="2"/>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0187" w:type="dxa"/>
            <w:gridSpan w:val="5"/>
            <w:vAlign w:val="center"/>
          </w:tcPr>
          <w:p>
            <w:pPr>
              <w:ind w:left="136" w:leftChars="65"/>
              <w:jc w:val="center"/>
              <w:rPr>
                <w:rFonts w:ascii="宋体" w:hAnsi="宋体"/>
                <w:szCs w:val="21"/>
              </w:rPr>
            </w:pPr>
            <w:r>
              <w:rPr>
                <w:rFonts w:hint="eastAsia" w:ascii="宋体" w:hAnsi="宋体"/>
                <w:b/>
                <w:kern w:val="0"/>
                <w:szCs w:val="21"/>
              </w:rPr>
              <w:t>招标项目需求中</w:t>
            </w:r>
            <w:r>
              <w:rPr>
                <w:rFonts w:hint="eastAsia" w:ascii="宋体" w:hAnsi="宋体"/>
                <w:b/>
                <w:color w:val="FF0000"/>
                <w:kern w:val="0"/>
                <w:szCs w:val="21"/>
              </w:rPr>
              <w:t>未带★</w:t>
            </w:r>
            <w:r>
              <w:rPr>
                <w:rFonts w:hint="eastAsia" w:ascii="宋体" w:hAnsi="宋体" w:cs="Arial"/>
                <w:b/>
                <w:color w:val="FF0000"/>
              </w:rPr>
              <w:t>号</w:t>
            </w:r>
            <w:r>
              <w:rPr>
                <w:rFonts w:hint="eastAsia" w:ascii="宋体" w:hAnsi="宋体" w:cs="Arial"/>
                <w:b/>
              </w:rPr>
              <w:t>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8" w:hRule="atLeast"/>
          <w:jc w:val="center"/>
        </w:trPr>
        <w:tc>
          <w:tcPr>
            <w:tcW w:w="675" w:type="dxa"/>
            <w:vAlign w:val="center"/>
          </w:tcPr>
          <w:p>
            <w:pPr>
              <w:jc w:val="center"/>
              <w:rPr>
                <w:rFonts w:ascii="宋体" w:hAnsi="宋体"/>
                <w:szCs w:val="21"/>
              </w:rPr>
            </w:pPr>
            <w:r>
              <w:rPr>
                <w:rFonts w:hint="eastAsia" w:ascii="宋体" w:hAnsi="宋体"/>
              </w:rPr>
              <w:t>1</w:t>
            </w:r>
          </w:p>
        </w:tc>
        <w:tc>
          <w:tcPr>
            <w:tcW w:w="2010" w:type="dxa"/>
            <w:vAlign w:val="center"/>
          </w:tcPr>
          <w:p>
            <w:pPr>
              <w:rPr>
                <w:rFonts w:ascii="宋体" w:hAnsi="宋体"/>
                <w:color w:val="FF0000"/>
                <w:szCs w:val="21"/>
              </w:rPr>
            </w:pPr>
            <w:r>
              <w:rPr>
                <w:rFonts w:hint="eastAsia" w:ascii="宋体" w:hAnsi="宋体"/>
                <w:b/>
                <w:color w:val="FF0000"/>
                <w:szCs w:val="21"/>
              </w:rPr>
              <w:t>招标文件第二章《项目需求》中未带★号的所有条款要求</w:t>
            </w:r>
          </w:p>
        </w:tc>
        <w:tc>
          <w:tcPr>
            <w:tcW w:w="3544" w:type="dxa"/>
            <w:vAlign w:val="center"/>
          </w:tcPr>
          <w:p>
            <w:pPr>
              <w:jc w:val="left"/>
              <w:rPr>
                <w:rFonts w:ascii="宋体" w:hAnsi="宋体" w:cs="Arial"/>
                <w:color w:val="0000FF"/>
                <w:sz w:val="20"/>
                <w:szCs w:val="18"/>
              </w:rPr>
            </w:pPr>
            <w:r>
              <w:rPr>
                <w:rFonts w:hint="eastAsia" w:ascii="宋体" w:hAnsi="宋体" w:cs="Arial"/>
                <w:b/>
                <w:color w:val="0000FF"/>
                <w:sz w:val="20"/>
                <w:szCs w:val="18"/>
              </w:rPr>
              <w:t>【填写说明：</w:t>
            </w:r>
            <w:r>
              <w:rPr>
                <w:rFonts w:hint="eastAsia" w:ascii="宋体" w:hAnsi="宋体" w:cs="Arial"/>
                <w:color w:val="0000FF"/>
                <w:sz w:val="20"/>
                <w:szCs w:val="18"/>
              </w:rPr>
              <w:t>1、如投标人能完全按照此部分条款要求承诺（响应）并实施，可填写“</w:t>
            </w:r>
            <w:r>
              <w:rPr>
                <w:rFonts w:hint="eastAsia" w:ascii="宋体" w:hAnsi="宋体" w:cs="Arial"/>
                <w:b/>
                <w:color w:val="0000FF"/>
                <w:sz w:val="20"/>
                <w:szCs w:val="18"/>
              </w:rPr>
              <w:t>完全按招标文件要求响应</w:t>
            </w:r>
            <w:r>
              <w:rPr>
                <w:rFonts w:hint="eastAsia" w:ascii="宋体" w:hAnsi="宋体" w:cs="Arial"/>
                <w:color w:val="0000FF"/>
                <w:sz w:val="20"/>
                <w:szCs w:val="18"/>
              </w:rPr>
              <w:t>”；</w:t>
            </w:r>
          </w:p>
          <w:p>
            <w:pPr>
              <w:jc w:val="left"/>
              <w:rPr>
                <w:rFonts w:ascii="宋体" w:hAnsi="宋体" w:cs="Arial"/>
                <w:color w:val="0000FF"/>
                <w:sz w:val="20"/>
                <w:szCs w:val="18"/>
              </w:rPr>
            </w:pPr>
            <w:r>
              <w:rPr>
                <w:rFonts w:hint="eastAsia" w:ascii="宋体" w:hAnsi="宋体" w:cs="Arial"/>
                <w:color w:val="0000FF"/>
                <w:sz w:val="20"/>
                <w:szCs w:val="18"/>
              </w:rPr>
              <w:t>2、如投标人承诺（响应）内容出现正偏离或负偏离，请逐条做出说明。】</w:t>
            </w:r>
          </w:p>
        </w:tc>
        <w:tc>
          <w:tcPr>
            <w:tcW w:w="1984" w:type="dxa"/>
            <w:vAlign w:val="center"/>
          </w:tcPr>
          <w:p>
            <w:pPr>
              <w:ind w:left="136" w:leftChars="65"/>
              <w:jc w:val="center"/>
              <w:rPr>
                <w:rFonts w:ascii="宋体" w:hAnsi="宋体"/>
                <w:szCs w:val="21"/>
              </w:rPr>
            </w:pPr>
          </w:p>
        </w:tc>
        <w:tc>
          <w:tcPr>
            <w:tcW w:w="1974" w:type="dxa"/>
            <w:vAlign w:val="center"/>
          </w:tcPr>
          <w:p>
            <w:pPr>
              <w:ind w:left="57" w:leftChars="27"/>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bl>
    <w:p>
      <w:pPr>
        <w:spacing w:line="360" w:lineRule="auto"/>
        <w:ind w:firstLine="422" w:firstLineChars="201"/>
      </w:pPr>
      <w:r>
        <w:rPr>
          <w:rFonts w:hint="eastAsia"/>
        </w:rPr>
        <w:t>备注：</w:t>
      </w:r>
    </w:p>
    <w:p>
      <w:pPr>
        <w:spacing w:line="360" w:lineRule="auto"/>
        <w:ind w:firstLine="422" w:firstLineChars="201"/>
        <w:rPr>
          <w:rFonts w:asciiTheme="minorEastAsia" w:hAnsiTheme="minorEastAsia" w:eastAsiaTheme="minorEastAsia"/>
          <w:szCs w:val="21"/>
        </w:rPr>
      </w:pPr>
      <w:r>
        <w:rPr>
          <w:rFonts w:hint="eastAsia" w:asciiTheme="minorEastAsia" w:hAnsiTheme="minorEastAsia" w:eastAsiaTheme="minorEastAsia"/>
        </w:rPr>
        <w:t>（1）投标人无需逐项填写“</w:t>
      </w:r>
      <w:r>
        <w:rPr>
          <w:rFonts w:hint="eastAsia" w:asciiTheme="minorEastAsia" w:hAnsiTheme="minorEastAsia" w:eastAsiaTheme="minorEastAsia"/>
          <w:szCs w:val="21"/>
        </w:rPr>
        <w:t>招标项目需求”栏，按格式提供即可。</w:t>
      </w:r>
    </w:p>
    <w:p>
      <w:pPr>
        <w:spacing w:line="360" w:lineRule="auto"/>
        <w:ind w:firstLine="422" w:firstLineChars="201"/>
        <w:rPr>
          <w:rFonts w:asciiTheme="minorEastAsia" w:hAnsiTheme="minorEastAsia" w:eastAsiaTheme="minorEastAsia"/>
          <w:szCs w:val="21"/>
        </w:rPr>
      </w:pPr>
      <w:r>
        <w:rPr>
          <w:rFonts w:hint="eastAsia" w:asciiTheme="minorEastAsia" w:hAnsiTheme="minorEastAsia" w:eastAsiaTheme="minorEastAsia"/>
          <w:szCs w:val="21"/>
        </w:rPr>
        <w:t>（2）投标人必须完全响应满足所有带★号条款的要求，否则将导致投标无效。中标后被发现不能满足《项目需求》中所有带★号条款要求的，采购单位有权拒绝签订合同，一切后果由投标人自行承担。</w:t>
      </w:r>
    </w:p>
    <w:p>
      <w:pPr>
        <w:spacing w:line="360" w:lineRule="auto"/>
        <w:ind w:firstLine="422" w:firstLineChars="201"/>
        <w:rPr>
          <w:rFonts w:asciiTheme="minorEastAsia" w:hAnsiTheme="minorEastAsia" w:eastAsiaTheme="minorEastAsia"/>
        </w:rPr>
      </w:pPr>
      <w:r>
        <w:rPr>
          <w:rFonts w:hint="eastAsia" w:asciiTheme="minorEastAsia" w:hAnsiTheme="minorEastAsia" w:eastAsiaTheme="minorEastAsia"/>
          <w:szCs w:val="21"/>
        </w:rPr>
        <w:t>（3）如招标文件要求提供证明材料的，投标文件需提供相应证明材料复印件或扫描件（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w:t>
      </w:r>
    </w:p>
    <w:p>
      <w:pPr>
        <w:spacing w:line="360" w:lineRule="auto"/>
        <w:ind w:firstLine="422" w:firstLineChars="201"/>
        <w:rPr>
          <w:rFonts w:cs="Arial" w:asciiTheme="minorEastAsia" w:hAnsiTheme="minorEastAsia" w:eastAsiaTheme="minorEastAsia"/>
          <w:b/>
          <w:bCs/>
          <w:szCs w:val="21"/>
        </w:rPr>
      </w:pPr>
      <w:r>
        <w:rPr>
          <w:rFonts w:hint="eastAsia" w:asciiTheme="minorEastAsia" w:hAnsiTheme="minorEastAsia" w:eastAsiaTheme="minorEastAsia"/>
        </w:rPr>
        <w:t>（4）请投标人于“</w:t>
      </w:r>
      <w:r>
        <w:rPr>
          <w:rFonts w:hint="eastAsia" w:asciiTheme="minorEastAsia" w:hAnsiTheme="minorEastAsia" w:eastAsiaTheme="minorEastAsia"/>
          <w:szCs w:val="21"/>
        </w:rPr>
        <w:t>投标文件响应</w:t>
      </w:r>
      <w:r>
        <w:rPr>
          <w:rFonts w:hint="eastAsia" w:asciiTheme="minorEastAsia" w:hAnsiTheme="minorEastAsia" w:eastAsiaTheme="minorEastAsia"/>
        </w:rPr>
        <w:t>”栏中对偏离表中相关条款作出响应情况描述，“偏离情况”栏根据响应情况填写，没有达到要求的填“负偏离”，达到要求的填“无偏离”，优于要求的填“正偏离”</w:t>
      </w:r>
      <w:r>
        <w:rPr>
          <w:rFonts w:hint="eastAsia" w:cs="Arial" w:asciiTheme="minorEastAsia" w:hAnsiTheme="minorEastAsia" w:eastAsiaTheme="minorEastAsia"/>
          <w:bCs/>
          <w:szCs w:val="21"/>
        </w:rPr>
        <w:t>。</w:t>
      </w:r>
    </w:p>
    <w:p>
      <w:pPr>
        <w:adjustRightInd w:val="0"/>
        <w:snapToGrid w:val="0"/>
        <w:spacing w:line="300" w:lineRule="auto"/>
        <w:rPr>
          <w:rFonts w:eastAsia="楷体_GB2312"/>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法定代表人或其授权代表：（签字）</w:t>
      </w: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left"/>
        <w:rPr>
          <w:snapToGrid w:val="0"/>
          <w:kern w:val="0"/>
        </w:rPr>
      </w:pPr>
    </w:p>
    <w:p>
      <w:pPr>
        <w:pStyle w:val="3"/>
        <w:tabs>
          <w:tab w:val="left" w:pos="371"/>
        </w:tabs>
        <w:spacing w:before="120" w:after="120"/>
        <w:ind w:left="-1" w:leftChars="-1" w:hanging="1"/>
        <w:jc w:val="center"/>
        <w:rPr>
          <w:rFonts w:asciiTheme="minorEastAsia" w:hAnsiTheme="minorEastAsia" w:eastAsiaTheme="minorEastAsia"/>
        </w:rPr>
      </w:pPr>
      <w:bookmarkStart w:id="82" w:name="q17"/>
      <w:bookmarkEnd w:id="82"/>
      <w:bookmarkStart w:id="83" w:name="_格式5__"/>
      <w:bookmarkEnd w:id="83"/>
      <w:bookmarkStart w:id="84" w:name="q15"/>
      <w:bookmarkEnd w:id="84"/>
      <w:bookmarkStart w:id="85" w:name="q16"/>
      <w:bookmarkEnd w:id="85"/>
      <w:bookmarkStart w:id="86" w:name="_格式4__"/>
      <w:bookmarkEnd w:id="86"/>
      <w:bookmarkStart w:id="87" w:name="_格式2__投标保证金凭证"/>
      <w:bookmarkEnd w:id="87"/>
      <w:bookmarkStart w:id="88" w:name="_格式3__"/>
      <w:bookmarkEnd w:id="88"/>
      <w:r>
        <w:rPr>
          <w:rFonts w:asciiTheme="minorEastAsia" w:hAnsiTheme="minorEastAsia" w:eastAsiaTheme="minorEastAsia"/>
        </w:rPr>
        <w:tab/>
      </w:r>
      <w:bookmarkStart w:id="89" w:name="_Toc44691169"/>
      <w:bookmarkStart w:id="90" w:name="_Toc44691401"/>
      <w:bookmarkStart w:id="91" w:name="_Toc44690710"/>
      <w:bookmarkStart w:id="92" w:name="_Toc44690437"/>
      <w:bookmarkStart w:id="93" w:name="_Toc135293191"/>
      <w:r>
        <w:rPr>
          <w:rFonts w:hint="eastAsia" w:asciiTheme="minorEastAsia" w:hAnsiTheme="minorEastAsia" w:eastAsiaTheme="minorEastAsia"/>
        </w:rPr>
        <w:t xml:space="preserve">格式10  </w:t>
      </w:r>
      <w:bookmarkEnd w:id="89"/>
      <w:bookmarkEnd w:id="90"/>
      <w:bookmarkEnd w:id="91"/>
      <w:bookmarkEnd w:id="92"/>
      <w:r>
        <w:rPr>
          <w:rFonts w:hint="eastAsia" w:asciiTheme="minorEastAsia" w:hAnsiTheme="minorEastAsia" w:eastAsiaTheme="minorEastAsia"/>
        </w:rPr>
        <w:t>招标文件要求的其他资料或投标人认为需要补充的资料</w:t>
      </w:r>
      <w:bookmarkEnd w:id="93"/>
    </w:p>
    <w:p>
      <w:pPr>
        <w:spacing w:line="360" w:lineRule="auto"/>
        <w:jc w:val="center"/>
      </w:pPr>
    </w:p>
    <w:p>
      <w:pPr>
        <w:widowControl/>
        <w:snapToGrid w:val="0"/>
        <w:spacing w:line="360" w:lineRule="auto"/>
        <w:jc w:val="left"/>
        <w:outlineLvl w:val="3"/>
        <w:rPr>
          <w:rFonts w:ascii="仿宋" w:hAnsi="仿宋" w:eastAsia="仿宋"/>
          <w:b/>
          <w:bCs/>
          <w:color w:val="FF0000"/>
          <w:kern w:val="0"/>
          <w:sz w:val="25"/>
          <w:szCs w:val="25"/>
        </w:rPr>
      </w:pPr>
      <w:r>
        <w:rPr>
          <w:rFonts w:hint="eastAsia" w:ascii="仿宋" w:hAnsi="仿宋" w:eastAsia="仿宋"/>
          <w:b/>
          <w:bCs/>
          <w:color w:val="FF0000"/>
          <w:kern w:val="0"/>
          <w:sz w:val="25"/>
          <w:szCs w:val="25"/>
        </w:rPr>
        <w:t>特别提醒：</w:t>
      </w:r>
    </w:p>
    <w:p>
      <w:pPr>
        <w:widowControl/>
        <w:snapToGrid w:val="0"/>
        <w:spacing w:line="360" w:lineRule="auto"/>
        <w:jc w:val="left"/>
        <w:rPr>
          <w:rFonts w:ascii="宋体" w:hAnsi="宋体"/>
          <w:color w:val="FF0000"/>
          <w:szCs w:val="21"/>
        </w:rPr>
      </w:pPr>
      <w:r>
        <w:rPr>
          <w:rFonts w:hint="eastAsia" w:ascii="仿宋" w:hAnsi="仿宋" w:eastAsia="仿宋"/>
          <w:color w:val="FF0000"/>
          <w:kern w:val="0"/>
          <w:sz w:val="25"/>
          <w:szCs w:val="25"/>
        </w:rPr>
        <w:t xml:space="preserve">  </w:t>
      </w:r>
      <w:r>
        <w:rPr>
          <w:rFonts w:hint="eastAsia" w:asciiTheme="minorEastAsia" w:hAnsiTheme="minorEastAsia" w:eastAsiaTheme="minorEastAsia"/>
          <w:color w:val="FF0000"/>
          <w:kern w:val="0"/>
          <w:szCs w:val="21"/>
        </w:rPr>
        <w:t xml:space="preserve">  《深圳经济特区政府采购条例实施细则》</w:t>
      </w:r>
      <w:r>
        <w:rPr>
          <w:rFonts w:hint="eastAsia" w:ascii="宋体" w:hAnsi="宋体"/>
          <w:color w:val="FF0000"/>
          <w:szCs w:val="21"/>
        </w:rPr>
        <w:t>第七十九条规定：供应商有下列情形的，属于采购条例所称的串通投标行为。</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（一）投标供应商之间相互约定给予未中标的供应商利益补偿；</w:t>
      </w:r>
    </w:p>
    <w:p>
      <w:pPr>
        <w:widowControl/>
        <w:snapToGrid w:val="0"/>
        <w:spacing w:line="360" w:lineRule="auto"/>
        <w:ind w:firstLine="426" w:firstLineChars="202"/>
        <w:jc w:val="left"/>
        <w:rPr>
          <w:rFonts w:asciiTheme="minorEastAsia" w:hAnsiTheme="minorEastAsia" w:eastAsiaTheme="minorEastAsia"/>
          <w:b/>
          <w:color w:val="FF0000"/>
          <w:kern w:val="0"/>
          <w:szCs w:val="21"/>
        </w:rPr>
      </w:pPr>
      <w:r>
        <w:rPr>
          <w:rFonts w:hint="eastAsia" w:asciiTheme="minorEastAsia" w:hAnsiTheme="minorEastAsia" w:eastAsiaTheme="minorEastAsia"/>
          <w:b/>
          <w:color w:val="FF0000"/>
          <w:kern w:val="0"/>
          <w:szCs w:val="21"/>
        </w:rPr>
        <w:t>（二）不同投标供应商的法定代表人、主要经营负责人、项目投标授权代表人、项目负责人、主要技术人员为同一人、属同一单位或者在同一单位缴纳社会保险；</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（三）不同投标供应商的投标文件由同一单位或者同一人编制，或者由同一人分阶段参与编制的；</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（四）不同投标供应商的投标文件或部分投标文件相互混装；</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（五）不同投标供应商的投标文件内容存在非正常一致；</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（六）由同一单位工作人员为两家以上（含两家）供应商进行同一项投标活动的；</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（七）主管部门依照法律、法规认定的其他情形。</w:t>
      </w:r>
    </w:p>
    <w:p>
      <w:pPr>
        <w:widowControl/>
        <w:snapToGrid w:val="0"/>
        <w:spacing w:line="360" w:lineRule="auto"/>
        <w:jc w:val="left"/>
        <w:rPr>
          <w:rFonts w:asciiTheme="minorEastAsia" w:hAnsiTheme="minorEastAsia" w:eastAsiaTheme="minorEastAsia"/>
          <w:color w:val="FF0000"/>
          <w:kern w:val="0"/>
          <w:szCs w:val="21"/>
        </w:rPr>
      </w:pPr>
    </w:p>
    <w:p>
      <w:pPr>
        <w:widowControl/>
        <w:snapToGrid w:val="0"/>
        <w:spacing w:line="360" w:lineRule="auto"/>
        <w:jc w:val="left"/>
        <w:rPr>
          <w:rFonts w:asciiTheme="minorEastAsia" w:hAnsiTheme="minorEastAsia" w:eastAsiaTheme="minorEastAsia"/>
          <w:b/>
          <w:color w:val="FF0000"/>
          <w:kern w:val="0"/>
          <w:szCs w:val="21"/>
        </w:rPr>
      </w:pPr>
      <w:r>
        <w:rPr>
          <w:rFonts w:hint="eastAsia" w:asciiTheme="minorEastAsia" w:hAnsiTheme="minorEastAsia" w:eastAsiaTheme="minorEastAsia"/>
          <w:b/>
          <w:color w:val="FF0000"/>
          <w:kern w:val="0"/>
          <w:szCs w:val="21"/>
        </w:rPr>
        <w:t>投标人提供以下资料（格式自拟）：</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1、投标单位法定代表人、主要经营负责人、项目投标授权代表人、项目负责人及主要技术人员近一年社保缴纳查询记录（包含在投标单位及其他缴纳社保单位的记录）；社保缴纳不满一年的按实际缴纳情况提供（因社保部门原因暂时无法提供社保证明的，需提供加盖公章的情况说明或者证明材料。）</w:t>
      </w:r>
    </w:p>
    <w:p>
      <w:pPr>
        <w:widowControl/>
        <w:snapToGrid w:val="0"/>
        <w:spacing w:line="360" w:lineRule="auto"/>
        <w:ind w:firstLine="424" w:firstLineChars="202"/>
        <w:jc w:val="left"/>
        <w:rPr>
          <w:rFonts w:hint="eastAsia"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2、其他招标文件要求提供的资料或投标人认为需要补充的资料。</w:t>
      </w:r>
    </w:p>
    <w:p>
      <w:pPr>
        <w:rPr>
          <w:rFonts w:hint="eastAsia"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br w:type="page"/>
      </w:r>
    </w:p>
    <w:p>
      <w:pPr>
        <w:widowControl/>
        <w:snapToGrid w:val="0"/>
        <w:spacing w:line="360" w:lineRule="auto"/>
        <w:ind w:firstLine="424" w:firstLineChars="202"/>
        <w:jc w:val="left"/>
        <w:rPr>
          <w:rFonts w:hint="eastAsia" w:asciiTheme="minorEastAsia" w:hAnsiTheme="minorEastAsia" w:eastAsiaTheme="minorEastAsia"/>
          <w:color w:val="FF0000"/>
          <w:kern w:val="0"/>
          <w:szCs w:val="21"/>
        </w:rPr>
      </w:pPr>
    </w:p>
    <w:p>
      <w:pPr>
        <w:pStyle w:val="28"/>
        <w:adjustRightInd w:val="0"/>
        <w:snapToGrid w:val="0"/>
        <w:spacing w:line="312" w:lineRule="auto"/>
        <w:ind w:left="0" w:right="0" w:firstLine="0"/>
        <w:jc w:val="center"/>
        <w:rPr>
          <w:rFonts w:hint="eastAsia" w:ascii="Times New Roman" w:hAnsi="Times New Roman" w:eastAsia="宋体"/>
          <w:b/>
          <w:bCs/>
          <w:lang w:eastAsia="zh-CN"/>
        </w:rPr>
      </w:pPr>
      <w:r>
        <w:rPr>
          <w:rFonts w:hint="eastAsia"/>
          <w:b/>
          <w:bCs/>
          <w:sz w:val="28"/>
          <w:szCs w:val="28"/>
        </w:rPr>
        <w:t>分包意向协议书</w:t>
      </w:r>
      <w:r>
        <w:rPr>
          <w:rFonts w:hint="eastAsia"/>
          <w:b/>
          <w:bCs/>
          <w:sz w:val="28"/>
          <w:szCs w:val="28"/>
          <w:lang w:eastAsia="zh-CN"/>
        </w:rPr>
        <w:t>（</w:t>
      </w:r>
      <w:r>
        <w:rPr>
          <w:rFonts w:hint="eastAsia"/>
          <w:b/>
          <w:bCs/>
          <w:sz w:val="28"/>
          <w:szCs w:val="28"/>
          <w:lang w:val="en-US" w:eastAsia="zh-CN"/>
        </w:rPr>
        <w:t>如有</w:t>
      </w:r>
      <w:r>
        <w:rPr>
          <w:rFonts w:hint="eastAsia"/>
          <w:b/>
          <w:bCs/>
          <w:sz w:val="28"/>
          <w:szCs w:val="28"/>
          <w:lang w:eastAsia="zh-CN"/>
        </w:rPr>
        <w:t>）</w:t>
      </w:r>
    </w:p>
    <w:p>
      <w:pPr>
        <w:spacing w:line="360" w:lineRule="auto"/>
        <w:ind w:firstLine="426"/>
        <w:rPr>
          <w:rFonts w:ascii="宋体" w:hAnsi="宋体"/>
          <w:color w:val="000000"/>
        </w:rPr>
      </w:pPr>
      <w:r>
        <w:rPr>
          <w:rFonts w:hint="eastAsia" w:ascii="宋体" w:hAnsi="宋体"/>
          <w:color w:val="000000"/>
        </w:rPr>
        <w:t>为参加</w:t>
      </w:r>
      <w:r>
        <w:rPr>
          <w:rFonts w:hint="eastAsia" w:ascii="宋体" w:hAnsi="宋体"/>
          <w:bCs/>
          <w:color w:val="000000"/>
          <w:u w:val="single"/>
        </w:rPr>
        <w:t>（单位名称）</w:t>
      </w:r>
      <w:r>
        <w:rPr>
          <w:rFonts w:hint="eastAsia" w:ascii="宋体" w:hAnsi="宋体"/>
          <w:bCs/>
          <w:color w:val="000000"/>
        </w:rPr>
        <w:t>的</w:t>
      </w:r>
      <w:r>
        <w:rPr>
          <w:rFonts w:hint="eastAsia" w:ascii="宋体" w:hAnsi="宋体"/>
          <w:bCs/>
          <w:color w:val="000000"/>
          <w:u w:val="single"/>
        </w:rPr>
        <w:t>（项目名称）</w:t>
      </w:r>
      <w:r>
        <w:rPr>
          <w:rFonts w:hint="eastAsia" w:ascii="宋体" w:hAnsi="宋体"/>
          <w:bCs/>
          <w:color w:val="000000"/>
        </w:rPr>
        <w:t>采购项目</w:t>
      </w:r>
      <w:r>
        <w:rPr>
          <w:rFonts w:hint="eastAsia" w:ascii="宋体" w:hAnsi="宋体"/>
          <w:color w:val="000000"/>
        </w:rPr>
        <w:t>，（甲方：投标人）与（乙方：承担分包供应商）通过友好协商，就分包事宜达成以下协议：</w:t>
      </w:r>
    </w:p>
    <w:p>
      <w:pPr>
        <w:spacing w:line="360" w:lineRule="auto"/>
        <w:ind w:firstLine="426"/>
        <w:rPr>
          <w:rFonts w:ascii="宋体" w:hAnsi="宋体"/>
          <w:color w:val="000000"/>
        </w:rPr>
      </w:pPr>
      <w:r>
        <w:rPr>
          <w:rFonts w:hint="eastAsia" w:ascii="宋体" w:hAnsi="宋体"/>
          <w:color w:val="000000"/>
        </w:rPr>
        <w:t>一、在本次投标有效期内，乙方同意甲方代理上述投标事宜。若中标，各方按照本协议中约定的分工事项，完成各方对应的工作。</w:t>
      </w:r>
    </w:p>
    <w:p>
      <w:pPr>
        <w:spacing w:line="360" w:lineRule="auto"/>
        <w:ind w:firstLine="426"/>
        <w:rPr>
          <w:rFonts w:ascii="宋体" w:hAnsi="宋体"/>
          <w:color w:val="000000"/>
        </w:rPr>
      </w:pPr>
      <w:r>
        <w:rPr>
          <w:rFonts w:hint="eastAsia" w:ascii="宋体" w:hAnsi="宋体"/>
          <w:color w:val="000000"/>
        </w:rPr>
        <w:t>二、各方分工：</w:t>
      </w:r>
    </w:p>
    <w:p>
      <w:pPr>
        <w:spacing w:line="360" w:lineRule="auto"/>
        <w:ind w:firstLine="426"/>
        <w:rPr>
          <w:rFonts w:ascii="宋体" w:hAnsi="宋体"/>
          <w:color w:val="000000"/>
        </w:rPr>
      </w:pPr>
      <w:r>
        <w:rPr>
          <w:rFonts w:hint="eastAsia" w:ascii="宋体" w:hAnsi="宋体"/>
          <w:color w:val="000000"/>
        </w:rPr>
        <w:t>1、本项目投标工作由甲方负责。</w:t>
      </w:r>
    </w:p>
    <w:p>
      <w:pPr>
        <w:spacing w:line="360" w:lineRule="auto"/>
        <w:ind w:firstLine="426"/>
        <w:rPr>
          <w:rFonts w:ascii="宋体" w:hAnsi="宋体"/>
          <w:color w:val="000000"/>
        </w:rPr>
      </w:pPr>
      <w:r>
        <w:rPr>
          <w:rFonts w:hint="eastAsia" w:ascii="宋体" w:hAnsi="宋体"/>
          <w:color w:val="000000"/>
        </w:rPr>
        <w:t>2、本项目由甲方授权人员负责与采购人联系。</w:t>
      </w:r>
    </w:p>
    <w:p>
      <w:pPr>
        <w:spacing w:line="360" w:lineRule="auto"/>
        <w:ind w:firstLine="426"/>
        <w:rPr>
          <w:rFonts w:ascii="宋体" w:hAnsi="宋体"/>
          <w:color w:val="000000"/>
        </w:rPr>
      </w:pPr>
      <w:r>
        <w:rPr>
          <w:rFonts w:hint="eastAsia" w:ascii="宋体" w:hAnsi="宋体"/>
          <w:color w:val="000000"/>
        </w:rPr>
        <w:t>3、甲方拟承担的工作和责任:。</w:t>
      </w:r>
    </w:p>
    <w:p>
      <w:pPr>
        <w:spacing w:line="360" w:lineRule="auto"/>
        <w:ind w:firstLine="426"/>
        <w:rPr>
          <w:rFonts w:ascii="宋体" w:hAnsi="宋体"/>
          <w:color w:val="000000"/>
        </w:rPr>
      </w:pPr>
      <w:r>
        <w:rPr>
          <w:rFonts w:hint="eastAsia" w:ascii="宋体" w:hAnsi="宋体"/>
          <w:color w:val="000000"/>
        </w:rPr>
        <w:t>4、乙方拟承担的工作和责任:。</w:t>
      </w:r>
    </w:p>
    <w:p>
      <w:pPr>
        <w:spacing w:line="360" w:lineRule="auto"/>
        <w:ind w:firstLine="426"/>
        <w:rPr>
          <w:rFonts w:ascii="宋体" w:hAnsi="宋体"/>
          <w:color w:val="000000"/>
        </w:rPr>
      </w:pPr>
      <w:r>
        <w:rPr>
          <w:rFonts w:hint="eastAsia" w:ascii="宋体" w:hAnsi="宋体"/>
          <w:color w:val="000000"/>
        </w:rPr>
        <w:t>5、乙方</w:t>
      </w:r>
      <w:r>
        <w:rPr>
          <w:rFonts w:hint="eastAsia" w:ascii="宋体" w:hAnsi="宋体"/>
          <w:snapToGrid w:val="0"/>
        </w:rPr>
        <w:t>承担</w:t>
      </w:r>
      <w:r>
        <w:rPr>
          <w:rFonts w:ascii="宋体" w:hAnsi="宋体"/>
          <w:snapToGrid w:val="0"/>
        </w:rPr>
        <w:t>的</w:t>
      </w:r>
      <w:r>
        <w:rPr>
          <w:rFonts w:hint="eastAsia" w:ascii="宋体" w:hAnsi="宋体"/>
          <w:snapToGrid w:val="0"/>
        </w:rPr>
        <w:t>合同份额为本项目预算总额的</w:t>
      </w:r>
      <w:r>
        <w:rPr>
          <w:rFonts w:hint="eastAsia" w:ascii="宋体" w:hAnsi="宋体"/>
          <w:color w:val="000000"/>
        </w:rPr>
        <w:t>%【如甲方非中小微企业，需由乙方（中小微企业）</w:t>
      </w:r>
      <w:r>
        <w:rPr>
          <w:rFonts w:hint="eastAsia" w:ascii="宋体" w:hAnsi="宋体"/>
          <w:snapToGrid w:val="0"/>
        </w:rPr>
        <w:t>承担</w:t>
      </w:r>
      <w:r>
        <w:rPr>
          <w:rFonts w:ascii="宋体" w:hAnsi="宋体"/>
          <w:snapToGrid w:val="0"/>
        </w:rPr>
        <w:t>的</w:t>
      </w:r>
      <w:r>
        <w:rPr>
          <w:rFonts w:hint="eastAsia" w:ascii="宋体" w:hAnsi="宋体"/>
          <w:snapToGrid w:val="0"/>
        </w:rPr>
        <w:t>合同份额不得低于预算总额的4</w:t>
      </w:r>
      <w:r>
        <w:rPr>
          <w:rFonts w:ascii="宋体" w:hAnsi="宋体"/>
          <w:snapToGrid w:val="0"/>
        </w:rPr>
        <w:t>0%</w:t>
      </w:r>
      <w:r>
        <w:rPr>
          <w:rFonts w:hint="eastAsia" w:ascii="宋体" w:hAnsi="宋体"/>
          <w:snapToGrid w:val="0"/>
        </w:rPr>
        <w:t>；如甲方为中型企业，</w:t>
      </w:r>
      <w:r>
        <w:rPr>
          <w:rFonts w:hint="eastAsia" w:ascii="宋体" w:hAnsi="宋体"/>
          <w:color w:val="000000"/>
        </w:rPr>
        <w:t>需由乙方（小微企业）</w:t>
      </w:r>
      <w:r>
        <w:rPr>
          <w:rFonts w:hint="eastAsia" w:ascii="宋体" w:hAnsi="宋体"/>
          <w:snapToGrid w:val="0"/>
        </w:rPr>
        <w:t>承担</w:t>
      </w:r>
      <w:r>
        <w:rPr>
          <w:rFonts w:ascii="宋体" w:hAnsi="宋体"/>
          <w:snapToGrid w:val="0"/>
        </w:rPr>
        <w:t>的</w:t>
      </w:r>
      <w:r>
        <w:rPr>
          <w:rFonts w:hint="eastAsia" w:ascii="宋体" w:hAnsi="宋体"/>
          <w:snapToGrid w:val="0"/>
        </w:rPr>
        <w:t>合同份额不得低于预算总额的28</w:t>
      </w:r>
      <w:r>
        <w:rPr>
          <w:rFonts w:ascii="宋体" w:hAnsi="宋体"/>
          <w:snapToGrid w:val="0"/>
        </w:rPr>
        <w:t>%</w:t>
      </w:r>
      <w:r>
        <w:rPr>
          <w:rFonts w:hint="eastAsia" w:ascii="宋体" w:hAnsi="宋体"/>
          <w:snapToGrid w:val="0"/>
        </w:rPr>
        <w:t>；如甲方为小微企业，则无需分包</w:t>
      </w:r>
      <w:r>
        <w:rPr>
          <w:rFonts w:hint="eastAsia" w:ascii="宋体" w:hAnsi="宋体"/>
          <w:color w:val="000000"/>
        </w:rPr>
        <w:t>】。</w:t>
      </w:r>
    </w:p>
    <w:p>
      <w:pPr>
        <w:spacing w:line="360" w:lineRule="auto"/>
        <w:ind w:firstLine="426"/>
        <w:rPr>
          <w:rFonts w:ascii="宋体" w:hAnsi="宋体"/>
          <w:color w:val="000000"/>
        </w:rPr>
      </w:pPr>
      <w:r>
        <w:rPr>
          <w:rFonts w:hint="eastAsia" w:ascii="宋体" w:hAnsi="宋体"/>
          <w:color w:val="000000"/>
        </w:rPr>
        <w:t>6、如乙方非小微企业，甲方还须将分包份额中不低于70%的比例分包给</w:t>
      </w:r>
      <w:r>
        <w:rPr>
          <w:rFonts w:hint="eastAsia" w:ascii="宋体" w:hAnsi="宋体"/>
          <w:snapToGrid w:val="0"/>
        </w:rPr>
        <w:t>小微企业，并另行提供有效的分包意向协议书（格式自拟），未提供或提供不符合要求的均视为无效</w:t>
      </w:r>
      <w:r>
        <w:rPr>
          <w:rFonts w:hint="eastAsia" w:ascii="宋体" w:hAnsi="宋体"/>
          <w:color w:val="000000"/>
        </w:rPr>
        <w:t>。</w:t>
      </w:r>
    </w:p>
    <w:p>
      <w:pPr>
        <w:spacing w:line="360" w:lineRule="auto"/>
        <w:ind w:firstLine="426"/>
        <w:rPr>
          <w:rFonts w:ascii="宋体" w:hAnsi="宋体"/>
          <w:snapToGrid w:val="0"/>
        </w:rPr>
      </w:pPr>
      <w:r>
        <w:rPr>
          <w:rFonts w:hint="eastAsia" w:ascii="宋体" w:hAnsi="宋体"/>
          <w:color w:val="000000"/>
        </w:rPr>
        <w:t>7、甲方和乙方企业类型以投标文件中《中小企业声明函》响应内容为准。</w:t>
      </w:r>
    </w:p>
    <w:p>
      <w:pPr>
        <w:spacing w:line="360" w:lineRule="auto"/>
        <w:ind w:firstLine="426"/>
        <w:rPr>
          <w:rFonts w:ascii="宋体" w:hAnsi="宋体"/>
          <w:color w:val="000000"/>
        </w:rPr>
      </w:pPr>
      <w:r>
        <w:rPr>
          <w:rFonts w:hint="eastAsia" w:ascii="宋体" w:hAnsi="宋体"/>
          <w:color w:val="000000"/>
        </w:rPr>
        <w:t>8、如中标，各方应按照招标文件的各项要求和内部职责的划分，承担自身所负的责任和风险。</w:t>
      </w:r>
    </w:p>
    <w:p>
      <w:pPr>
        <w:spacing w:line="360" w:lineRule="auto"/>
        <w:ind w:firstLine="426"/>
        <w:rPr>
          <w:rFonts w:ascii="宋体" w:hAnsi="宋体"/>
          <w:color w:val="000000"/>
        </w:rPr>
      </w:pPr>
      <w:r>
        <w:rPr>
          <w:rFonts w:hint="eastAsia" w:ascii="宋体" w:hAnsi="宋体"/>
          <w:color w:val="000000"/>
        </w:rPr>
        <w:t>三、甲方和乙方及其他</w:t>
      </w:r>
      <w:r>
        <w:rPr>
          <w:rFonts w:hint="eastAsia" w:ascii="宋体" w:cs="宋体"/>
          <w:kern w:val="0"/>
          <w:szCs w:val="21"/>
        </w:rPr>
        <w:t>接受分包合同的企业</w:t>
      </w:r>
      <w:r>
        <w:rPr>
          <w:rFonts w:hint="eastAsia" w:ascii="宋体" w:hAnsi="宋体"/>
          <w:color w:val="000000"/>
        </w:rPr>
        <w:t>之间</w:t>
      </w:r>
      <w:r>
        <w:rPr>
          <w:rFonts w:hint="eastAsia" w:ascii="宋体" w:hAnsi="宋体"/>
          <w:snapToGrid w:val="0"/>
        </w:rPr>
        <w:t>不存在直接控股、管理关系。</w:t>
      </w:r>
    </w:p>
    <w:p>
      <w:pPr>
        <w:spacing w:line="360" w:lineRule="auto"/>
        <w:ind w:firstLine="426"/>
        <w:rPr>
          <w:rFonts w:ascii="宋体" w:hAnsi="宋体"/>
          <w:color w:val="000000"/>
        </w:rPr>
      </w:pPr>
      <w:r>
        <w:rPr>
          <w:rFonts w:hint="eastAsia" w:ascii="宋体" w:hAnsi="宋体"/>
          <w:color w:val="000000"/>
        </w:rPr>
        <w:t>四、本协议自签署之日起生效，投标有效期内有效，如获中标资格，合同有效期延续至合同履行完毕之日。</w:t>
      </w:r>
    </w:p>
    <w:p>
      <w:pPr>
        <w:spacing w:line="360" w:lineRule="auto"/>
        <w:ind w:firstLine="426"/>
        <w:rPr>
          <w:rFonts w:ascii="宋体" w:hAnsi="宋体"/>
          <w:color w:val="000000"/>
        </w:rPr>
      </w:pPr>
      <w:r>
        <w:rPr>
          <w:rFonts w:hint="eastAsia" w:ascii="宋体" w:hAnsi="宋体"/>
          <w:color w:val="000000"/>
        </w:rPr>
        <w:t>五、本协议书一式</w:t>
      </w:r>
      <w:r>
        <w:rPr>
          <w:rFonts w:hint="eastAsia" w:ascii="宋体" w:hAnsi="宋体"/>
          <w:color w:val="000000"/>
          <w:u w:val="single"/>
        </w:rPr>
        <w:t xml:space="preserve"> 肆 </w:t>
      </w:r>
      <w:r>
        <w:rPr>
          <w:rFonts w:hint="eastAsia" w:ascii="宋体" w:hAnsi="宋体"/>
          <w:color w:val="000000"/>
        </w:rPr>
        <w:t>份，随投标文件装订壹份，送采购人壹份，分包意向协议成员各壹份。</w:t>
      </w:r>
    </w:p>
    <w:p>
      <w:pPr>
        <w:spacing w:line="360" w:lineRule="auto"/>
        <w:ind w:firstLine="629"/>
        <w:rPr>
          <w:color w:val="000000"/>
        </w:rPr>
      </w:pPr>
    </w:p>
    <w:p>
      <w:pPr>
        <w:spacing w:line="360" w:lineRule="auto"/>
        <w:ind w:firstLine="426"/>
        <w:rPr>
          <w:color w:val="000000"/>
        </w:rPr>
      </w:pPr>
      <w:r>
        <w:rPr>
          <w:rFonts w:hint="eastAsia"/>
          <w:color w:val="000000"/>
        </w:rPr>
        <w:t>甲方名称：                                乙方名称：</w:t>
      </w:r>
    </w:p>
    <w:p>
      <w:pPr>
        <w:spacing w:line="360" w:lineRule="auto"/>
        <w:ind w:firstLine="707" w:firstLineChars="337"/>
        <w:jc w:val="left"/>
        <w:rPr>
          <w:color w:val="000000"/>
        </w:rPr>
      </w:pPr>
    </w:p>
    <w:p>
      <w:pPr>
        <w:jc w:val="left"/>
        <w:rPr>
          <w:snapToGrid w:val="0"/>
          <w:kern w:val="0"/>
          <w:sz w:val="52"/>
          <w:szCs w:val="52"/>
        </w:rPr>
      </w:pPr>
      <w:r>
        <w:rPr>
          <w:rFonts w:hint="eastAsia"/>
          <w:color w:val="000000"/>
        </w:rPr>
        <w:t>日期：    年月日                  日期：      年月日</w:t>
      </w:r>
    </w:p>
    <w:p/>
    <w:p/>
    <w:p/>
    <w:p/>
    <w:p/>
    <w:p/>
    <w:p/>
    <w:p>
      <w:pPr>
        <w:pStyle w:val="2"/>
      </w:pPr>
      <w:bookmarkStart w:id="94" w:name="_Toc135293192"/>
      <w:r>
        <w:rPr>
          <w:rFonts w:hint="eastAsia"/>
        </w:rPr>
        <w:t>第八章  合同条款</w:t>
      </w:r>
      <w:bookmarkEnd w:id="94"/>
    </w:p>
    <w:p>
      <w:pPr>
        <w:jc w:val="center"/>
        <w:rPr>
          <w:b/>
          <w:szCs w:val="21"/>
        </w:rPr>
      </w:pPr>
    </w:p>
    <w:p>
      <w:pPr>
        <w:adjustRightInd w:val="0"/>
        <w:snapToGrid w:val="0"/>
        <w:spacing w:after="60" w:line="360" w:lineRule="auto"/>
        <w:jc w:val="center"/>
        <w:rPr>
          <w:b/>
          <w:snapToGrid w:val="0"/>
          <w:kern w:val="0"/>
          <w:sz w:val="24"/>
        </w:rPr>
      </w:pPr>
      <w:r>
        <w:rPr>
          <w:rFonts w:hint="eastAsia"/>
          <w:b/>
          <w:snapToGrid w:val="0"/>
          <w:kern w:val="0"/>
          <w:sz w:val="24"/>
        </w:rPr>
        <w:t>（拟签订的合同文本）</w:t>
      </w:r>
    </w:p>
    <w:p>
      <w:pPr>
        <w:pStyle w:val="26"/>
        <w:spacing w:line="360" w:lineRule="auto"/>
        <w:ind w:firstLine="482" w:firstLineChars="200"/>
        <w:rPr>
          <w:rFonts w:ascii="Times New Roman" w:hAnsi="Times New Roman"/>
          <w:b/>
          <w:sz w:val="24"/>
        </w:rPr>
      </w:pPr>
      <w:r>
        <w:rPr>
          <w:rFonts w:hint="eastAsia" w:ascii="Times New Roman" w:hAnsi="Times New Roman"/>
          <w:b/>
          <w:sz w:val="24"/>
        </w:rPr>
        <w:t>重要说明：采购人在签订合同前有权依据招标文件要求和项目实际情况对以下合同内容进行删改或补充。</w:t>
      </w:r>
    </w:p>
    <w:p>
      <w:pPr>
        <w:pStyle w:val="26"/>
        <w:spacing w:line="360" w:lineRule="auto"/>
        <w:ind w:firstLine="482" w:firstLineChars="200"/>
        <w:rPr>
          <w:rFonts w:ascii="Times New Roman" w:hAnsi="Times New Roman"/>
          <w:b/>
          <w:sz w:val="24"/>
        </w:rPr>
      </w:pPr>
    </w:p>
    <w:p>
      <w:pPr>
        <w:adjustRightInd w:val="0"/>
        <w:snapToGrid w:val="0"/>
        <w:spacing w:line="360" w:lineRule="auto"/>
        <w:ind w:firstLine="422" w:firstLineChars="200"/>
        <w:rPr>
          <w:rFonts w:ascii="宋体" w:hAnsi="宋体"/>
          <w:b/>
          <w:bCs/>
          <w:szCs w:val="21"/>
        </w:rPr>
      </w:pPr>
      <w:r>
        <w:rPr>
          <w:rFonts w:hint="eastAsia" w:ascii="宋体" w:hAnsi="宋体"/>
          <w:b/>
          <w:bCs/>
          <w:szCs w:val="21"/>
        </w:rPr>
        <w:t xml:space="preserve">采购人（甲方）：   </w:t>
      </w:r>
    </w:p>
    <w:p>
      <w:pPr>
        <w:adjustRightInd w:val="0"/>
        <w:snapToGrid w:val="0"/>
        <w:spacing w:line="360" w:lineRule="auto"/>
        <w:ind w:firstLine="422" w:firstLineChars="200"/>
        <w:rPr>
          <w:rFonts w:ascii="宋体" w:hAnsi="宋体"/>
          <w:b/>
          <w:bCs/>
          <w:szCs w:val="21"/>
        </w:rPr>
      </w:pPr>
      <w:r>
        <w:rPr>
          <w:rFonts w:hint="eastAsia" w:ascii="宋体" w:hAnsi="宋体"/>
          <w:b/>
          <w:bCs/>
          <w:szCs w:val="21"/>
        </w:rPr>
        <w:t xml:space="preserve">中标人（乙方）：                                       </w:t>
      </w:r>
    </w:p>
    <w:p>
      <w:pPr>
        <w:adjustRightInd w:val="0"/>
        <w:snapToGrid w:val="0"/>
        <w:spacing w:line="360" w:lineRule="auto"/>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根据</w:t>
      </w:r>
      <w:r>
        <w:rPr>
          <w:rFonts w:hint="eastAsia" w:ascii="宋体" w:hAnsi="宋体"/>
          <w:szCs w:val="21"/>
          <w:u w:val="single"/>
        </w:rPr>
        <w:t xml:space="preserve">                </w:t>
      </w:r>
      <w:r>
        <w:rPr>
          <w:rFonts w:hint="eastAsia" w:ascii="宋体" w:hAnsi="宋体"/>
          <w:szCs w:val="21"/>
        </w:rPr>
        <w:t>招标项目（项目编号__________________）的中标结果，由_______________________单位为中标人。</w:t>
      </w:r>
      <w:r>
        <w:rPr>
          <w:rFonts w:hint="eastAsia" w:asciiTheme="minorEastAsia" w:hAnsiTheme="minorEastAsia"/>
          <w:szCs w:val="21"/>
        </w:rPr>
        <w:t>根据《中华人民共和国政府采购法》、《深圳经济特区政府采购条例》、《</w:t>
      </w:r>
      <w:r>
        <w:rPr>
          <w:rFonts w:hint="eastAsia" w:ascii="宋体" w:hAnsi="宋体" w:cs="Courier New"/>
          <w:snapToGrid w:val="0"/>
          <w:szCs w:val="18"/>
        </w:rPr>
        <w:t>中华人民共和国民法典</w:t>
      </w:r>
      <w:r>
        <w:rPr>
          <w:rFonts w:hint="eastAsia" w:asciiTheme="minorEastAsia" w:hAnsiTheme="minorEastAsia"/>
          <w:szCs w:val="21"/>
        </w:rPr>
        <w:t>》之规定</w:t>
      </w:r>
      <w:r>
        <w:rPr>
          <w:rFonts w:hint="eastAsia" w:ascii="宋体" w:hAnsi="宋体"/>
          <w:szCs w:val="21"/>
        </w:rPr>
        <w:t>，经_______________________（以下简称采购人）和_______________________（以下简称中标人）协商，就_______________________</w:t>
      </w:r>
      <w:r>
        <w:rPr>
          <w:rFonts w:hint="eastAsia" w:ascii="宋体" w:hAnsi="宋体"/>
          <w:bCs/>
          <w:snapToGrid w:val="0"/>
          <w:kern w:val="0"/>
          <w:szCs w:val="21"/>
          <w:lang w:val="zh-CN"/>
        </w:rPr>
        <w:t>项目</w:t>
      </w:r>
      <w:r>
        <w:rPr>
          <w:rFonts w:hint="eastAsia" w:ascii="宋体" w:hAnsi="宋体"/>
          <w:szCs w:val="21"/>
        </w:rPr>
        <w:t>，达成以下合同条款：</w:t>
      </w:r>
    </w:p>
    <w:p>
      <w:pPr>
        <w:pStyle w:val="26"/>
        <w:snapToGrid w:val="0"/>
        <w:spacing w:line="360" w:lineRule="auto"/>
        <w:ind w:firstLine="422" w:firstLineChars="200"/>
        <w:rPr>
          <w:rFonts w:hAnsi="宋体"/>
          <w:b/>
          <w:szCs w:val="21"/>
        </w:rPr>
      </w:pPr>
      <w:r>
        <w:rPr>
          <w:rFonts w:hint="eastAsia" w:hAnsi="宋体"/>
          <w:b/>
          <w:szCs w:val="21"/>
        </w:rPr>
        <w:t>一、服务内容</w:t>
      </w:r>
    </w:p>
    <w:p>
      <w:pPr>
        <w:spacing w:line="360" w:lineRule="auto"/>
        <w:ind w:firstLine="422" w:firstLineChars="201"/>
        <w:rPr>
          <w:rFonts w:ascii="宋体" w:hAnsi="宋体"/>
          <w:szCs w:val="21"/>
        </w:rPr>
      </w:pPr>
      <w:r>
        <w:rPr>
          <w:rFonts w:hint="eastAsia" w:ascii="宋体" w:hAnsi="宋体"/>
          <w:szCs w:val="21"/>
        </w:rPr>
        <w:t>______________________</w:t>
      </w:r>
    </w:p>
    <w:p>
      <w:pPr>
        <w:pStyle w:val="26"/>
        <w:snapToGrid w:val="0"/>
        <w:spacing w:line="360" w:lineRule="auto"/>
        <w:ind w:firstLine="422" w:firstLineChars="200"/>
        <w:rPr>
          <w:rFonts w:hAnsi="宋体"/>
          <w:b/>
          <w:szCs w:val="21"/>
        </w:rPr>
      </w:pPr>
      <w:r>
        <w:rPr>
          <w:rFonts w:hint="eastAsia" w:hAnsi="宋体"/>
          <w:b/>
          <w:szCs w:val="21"/>
        </w:rPr>
        <w:t>二、合同金额</w:t>
      </w:r>
    </w:p>
    <w:p>
      <w:pPr>
        <w:pStyle w:val="26"/>
        <w:snapToGrid w:val="0"/>
        <w:spacing w:line="360" w:lineRule="auto"/>
        <w:ind w:firstLine="420" w:firstLineChars="200"/>
        <w:rPr>
          <w:rFonts w:hAnsi="宋体"/>
          <w:szCs w:val="21"/>
        </w:rPr>
      </w:pPr>
      <w:r>
        <w:rPr>
          <w:rFonts w:hint="eastAsia" w:hAnsi="宋体"/>
          <w:szCs w:val="21"/>
        </w:rPr>
        <w:t>本合同金额为（大写）：____________________________________元（￥_______________元）人民币。</w:t>
      </w:r>
    </w:p>
    <w:p>
      <w:pPr>
        <w:pStyle w:val="26"/>
        <w:snapToGrid w:val="0"/>
        <w:spacing w:line="360" w:lineRule="auto"/>
        <w:ind w:firstLine="422" w:firstLineChars="200"/>
        <w:rPr>
          <w:rFonts w:hAnsi="宋体"/>
          <w:b/>
          <w:szCs w:val="21"/>
        </w:rPr>
      </w:pPr>
      <w:r>
        <w:rPr>
          <w:rFonts w:hint="eastAsia" w:hAnsi="宋体"/>
          <w:b/>
          <w:szCs w:val="21"/>
        </w:rPr>
        <w:t>三、技术资料</w:t>
      </w:r>
    </w:p>
    <w:p>
      <w:pPr>
        <w:pStyle w:val="26"/>
        <w:snapToGrid w:val="0"/>
        <w:spacing w:line="360" w:lineRule="auto"/>
        <w:ind w:firstLine="420" w:firstLineChars="200"/>
        <w:rPr>
          <w:rFonts w:hAnsi="宋体"/>
          <w:szCs w:val="21"/>
        </w:rPr>
      </w:pPr>
      <w:r>
        <w:rPr>
          <w:rFonts w:hint="eastAsia" w:hAnsi="宋体"/>
          <w:szCs w:val="21"/>
        </w:rPr>
        <w:t>1、中标人应按招标文件规定的时间向采购人提供有关技术资料。</w:t>
      </w:r>
    </w:p>
    <w:p>
      <w:pPr>
        <w:pStyle w:val="26"/>
        <w:snapToGrid w:val="0"/>
        <w:spacing w:line="360" w:lineRule="auto"/>
        <w:ind w:firstLine="420" w:firstLineChars="200"/>
        <w:rPr>
          <w:rFonts w:hAnsi="宋体"/>
          <w:szCs w:val="21"/>
        </w:rPr>
      </w:pPr>
      <w:r>
        <w:rPr>
          <w:rFonts w:hint="eastAsia" w:hAnsi="宋体"/>
          <w:szCs w:val="21"/>
        </w:rPr>
        <w:t>2、没有采购人事先书面同意，中标人不得将由采购人提供的有关合同或任何合同条文、项目资料提供给与履行本合同无关的任何其他人。即使向履行本合同有关的人员提供，也应注意保密并限于履行合同的必需范围。</w:t>
      </w:r>
    </w:p>
    <w:p>
      <w:pPr>
        <w:pStyle w:val="26"/>
        <w:snapToGrid w:val="0"/>
        <w:spacing w:line="360" w:lineRule="auto"/>
        <w:ind w:firstLine="420" w:firstLineChars="200"/>
        <w:rPr>
          <w:rFonts w:hAnsi="宋体"/>
          <w:szCs w:val="21"/>
        </w:rPr>
      </w:pPr>
      <w:r>
        <w:rPr>
          <w:rFonts w:hint="eastAsia" w:hAnsi="宋体"/>
          <w:szCs w:val="21"/>
        </w:rPr>
        <w:t>3、合同履行完毕，未经采购人的书面同意，中标人不得保存在履行合同过程中所获得或接触到的任何内部数据资料。</w:t>
      </w:r>
    </w:p>
    <w:p>
      <w:pPr>
        <w:pStyle w:val="26"/>
        <w:snapToGrid w:val="0"/>
        <w:spacing w:line="360" w:lineRule="auto"/>
        <w:ind w:firstLine="422" w:firstLineChars="200"/>
        <w:rPr>
          <w:rFonts w:hAnsi="宋体"/>
          <w:b/>
          <w:szCs w:val="21"/>
        </w:rPr>
      </w:pPr>
      <w:r>
        <w:rPr>
          <w:rFonts w:hint="eastAsia" w:hAnsi="宋体"/>
          <w:b/>
          <w:szCs w:val="21"/>
        </w:rPr>
        <w:t>四、知识产权</w:t>
      </w:r>
    </w:p>
    <w:p>
      <w:pPr>
        <w:pStyle w:val="26"/>
        <w:snapToGrid w:val="0"/>
        <w:spacing w:line="360" w:lineRule="auto"/>
        <w:ind w:firstLine="420" w:firstLineChars="200"/>
        <w:rPr>
          <w:rFonts w:hAnsi="宋体"/>
          <w:bCs/>
          <w:szCs w:val="21"/>
        </w:rPr>
      </w:pPr>
      <w:r>
        <w:rPr>
          <w:rFonts w:hint="eastAsia" w:hAnsi="宋体"/>
          <w:szCs w:val="21"/>
        </w:rPr>
        <w:t>中标人应保证提供服务过程中不会侵犯任何第三方的知识产权</w:t>
      </w:r>
      <w:r>
        <w:rPr>
          <w:rFonts w:hint="eastAsia" w:hAnsi="宋体"/>
          <w:bCs/>
          <w:szCs w:val="21"/>
        </w:rPr>
        <w:t>。</w:t>
      </w:r>
    </w:p>
    <w:p>
      <w:pPr>
        <w:pStyle w:val="26"/>
        <w:snapToGrid w:val="0"/>
        <w:spacing w:line="360" w:lineRule="auto"/>
        <w:ind w:firstLine="422" w:firstLineChars="200"/>
        <w:rPr>
          <w:rFonts w:hAnsi="宋体"/>
          <w:b/>
          <w:szCs w:val="21"/>
        </w:rPr>
      </w:pPr>
      <w:r>
        <w:rPr>
          <w:rFonts w:hint="eastAsia" w:hAnsi="宋体"/>
          <w:b/>
          <w:szCs w:val="21"/>
        </w:rPr>
        <w:t>五、履约保证金</w:t>
      </w:r>
    </w:p>
    <w:p>
      <w:pPr>
        <w:snapToGrid w:val="0"/>
        <w:spacing w:line="360" w:lineRule="auto"/>
        <w:ind w:firstLine="422" w:firstLineChars="200"/>
        <w:rPr>
          <w:rFonts w:ascii="宋体" w:hAnsi="宋体"/>
          <w:b/>
          <w:szCs w:val="21"/>
        </w:rPr>
      </w:pPr>
      <w:r>
        <w:rPr>
          <w:rFonts w:hint="eastAsia" w:ascii="宋体" w:hAnsi="宋体"/>
          <w:b/>
          <w:szCs w:val="21"/>
        </w:rPr>
        <w:t>六、采购人的权利与义务</w:t>
      </w:r>
    </w:p>
    <w:p>
      <w:pPr>
        <w:snapToGrid w:val="0"/>
        <w:spacing w:line="360" w:lineRule="auto"/>
        <w:ind w:firstLine="420" w:firstLineChars="200"/>
        <w:rPr>
          <w:rFonts w:ascii="宋体" w:hAnsi="宋体"/>
          <w:szCs w:val="21"/>
        </w:rPr>
      </w:pPr>
      <w:r>
        <w:rPr>
          <w:rFonts w:hint="eastAsia" w:ascii="宋体" w:hAnsi="宋体"/>
          <w:szCs w:val="21"/>
        </w:rPr>
        <w:t>1、_______________________</w:t>
      </w:r>
    </w:p>
    <w:p>
      <w:pPr>
        <w:snapToGrid w:val="0"/>
        <w:spacing w:line="360" w:lineRule="auto"/>
        <w:ind w:firstLine="420" w:firstLineChars="200"/>
        <w:rPr>
          <w:rFonts w:ascii="宋体" w:hAnsi="宋体"/>
          <w:szCs w:val="21"/>
        </w:rPr>
      </w:pPr>
      <w:r>
        <w:rPr>
          <w:rFonts w:hint="eastAsia" w:ascii="宋体" w:hAnsi="宋体"/>
          <w:szCs w:val="21"/>
        </w:rPr>
        <w:t>2、_______________________</w:t>
      </w:r>
    </w:p>
    <w:p>
      <w:pPr>
        <w:snapToGrid w:val="0"/>
        <w:spacing w:line="360" w:lineRule="auto"/>
        <w:ind w:firstLine="420" w:firstLineChars="200"/>
        <w:rPr>
          <w:rFonts w:ascii="宋体" w:hAnsi="宋体"/>
          <w:szCs w:val="21"/>
        </w:rPr>
      </w:pPr>
      <w:r>
        <w:rPr>
          <w:rFonts w:hint="eastAsia" w:ascii="宋体" w:hAnsi="宋体"/>
          <w:szCs w:val="21"/>
        </w:rPr>
        <w:t>3、_______________________</w:t>
      </w:r>
    </w:p>
    <w:p>
      <w:pPr>
        <w:snapToGrid w:val="0"/>
        <w:spacing w:line="360" w:lineRule="auto"/>
        <w:ind w:firstLine="420" w:firstLineChars="200"/>
        <w:rPr>
          <w:rFonts w:ascii="宋体" w:hAnsi="宋体"/>
          <w:szCs w:val="21"/>
        </w:rPr>
      </w:pPr>
      <w:r>
        <w:rPr>
          <w:rFonts w:hint="eastAsia" w:ascii="宋体" w:hAnsi="宋体"/>
          <w:szCs w:val="21"/>
        </w:rPr>
        <w:t>4、_______________________</w:t>
      </w:r>
    </w:p>
    <w:p>
      <w:pPr>
        <w:snapToGrid w:val="0"/>
        <w:spacing w:line="360" w:lineRule="auto"/>
        <w:ind w:firstLine="420" w:firstLineChars="200"/>
        <w:rPr>
          <w:rFonts w:ascii="宋体" w:hAnsi="宋体"/>
          <w:szCs w:val="21"/>
        </w:rPr>
      </w:pPr>
      <w:r>
        <w:rPr>
          <w:rFonts w:hint="eastAsia" w:ascii="宋体" w:hAnsi="宋体"/>
          <w:szCs w:val="21"/>
        </w:rPr>
        <w:t>5、采购人的其它权利与义务_______________________</w:t>
      </w:r>
    </w:p>
    <w:p>
      <w:pPr>
        <w:snapToGrid w:val="0"/>
        <w:spacing w:line="360" w:lineRule="auto"/>
        <w:ind w:firstLine="422" w:firstLineChars="200"/>
        <w:rPr>
          <w:rFonts w:ascii="宋体" w:hAnsi="宋体"/>
          <w:b/>
          <w:szCs w:val="21"/>
        </w:rPr>
      </w:pPr>
      <w:r>
        <w:rPr>
          <w:rFonts w:hint="eastAsia" w:ascii="宋体" w:hAnsi="宋体"/>
          <w:b/>
          <w:szCs w:val="21"/>
        </w:rPr>
        <w:t>七、中标人的权利与义务</w:t>
      </w:r>
    </w:p>
    <w:p>
      <w:pPr>
        <w:snapToGrid w:val="0"/>
        <w:spacing w:line="360" w:lineRule="auto"/>
        <w:ind w:firstLine="420" w:firstLineChars="200"/>
        <w:rPr>
          <w:rFonts w:ascii="宋体" w:hAnsi="宋体"/>
          <w:szCs w:val="21"/>
        </w:rPr>
      </w:pPr>
      <w:r>
        <w:rPr>
          <w:rFonts w:hint="eastAsia" w:ascii="宋体" w:hAnsi="宋体"/>
          <w:szCs w:val="21"/>
        </w:rPr>
        <w:t>1、_______________________</w:t>
      </w:r>
    </w:p>
    <w:p>
      <w:pPr>
        <w:snapToGrid w:val="0"/>
        <w:spacing w:line="360" w:lineRule="auto"/>
        <w:ind w:firstLine="420" w:firstLineChars="200"/>
        <w:rPr>
          <w:rFonts w:ascii="宋体" w:hAnsi="宋体"/>
          <w:szCs w:val="21"/>
        </w:rPr>
      </w:pPr>
      <w:r>
        <w:rPr>
          <w:rFonts w:hint="eastAsia" w:ascii="宋体" w:hAnsi="宋体"/>
          <w:szCs w:val="21"/>
        </w:rPr>
        <w:t>2、_______________________</w:t>
      </w:r>
    </w:p>
    <w:p>
      <w:pPr>
        <w:snapToGrid w:val="0"/>
        <w:spacing w:line="360" w:lineRule="auto"/>
        <w:ind w:firstLine="420" w:firstLineChars="200"/>
        <w:rPr>
          <w:rFonts w:ascii="宋体" w:hAnsi="宋体"/>
          <w:szCs w:val="21"/>
        </w:rPr>
      </w:pPr>
      <w:r>
        <w:rPr>
          <w:rFonts w:hint="eastAsia" w:ascii="宋体" w:hAnsi="宋体"/>
          <w:szCs w:val="21"/>
        </w:rPr>
        <w:t>3、_______________________</w:t>
      </w:r>
    </w:p>
    <w:p>
      <w:pPr>
        <w:snapToGrid w:val="0"/>
        <w:spacing w:line="360" w:lineRule="auto"/>
        <w:ind w:firstLine="420" w:firstLineChars="200"/>
        <w:rPr>
          <w:rFonts w:ascii="宋体" w:hAnsi="宋体"/>
          <w:szCs w:val="21"/>
        </w:rPr>
      </w:pPr>
      <w:r>
        <w:rPr>
          <w:rFonts w:hint="eastAsia" w:ascii="宋体" w:hAnsi="宋体"/>
          <w:szCs w:val="21"/>
        </w:rPr>
        <w:t>4、_______________________</w:t>
      </w:r>
    </w:p>
    <w:p>
      <w:pPr>
        <w:snapToGrid w:val="0"/>
        <w:spacing w:line="360" w:lineRule="auto"/>
        <w:ind w:firstLine="420" w:firstLineChars="200"/>
        <w:rPr>
          <w:rFonts w:ascii="宋体" w:hAnsi="宋体"/>
          <w:szCs w:val="21"/>
        </w:rPr>
      </w:pPr>
      <w:r>
        <w:rPr>
          <w:rFonts w:hint="eastAsia" w:ascii="宋体" w:hAnsi="宋体"/>
          <w:szCs w:val="21"/>
        </w:rPr>
        <w:t>5、中标人的其它权利与义务_______________________</w:t>
      </w:r>
    </w:p>
    <w:p>
      <w:pPr>
        <w:pStyle w:val="26"/>
        <w:snapToGrid w:val="0"/>
        <w:spacing w:line="360" w:lineRule="auto"/>
        <w:ind w:firstLine="422" w:firstLineChars="200"/>
        <w:rPr>
          <w:rFonts w:hAnsi="宋体"/>
          <w:b/>
          <w:szCs w:val="21"/>
        </w:rPr>
      </w:pPr>
      <w:r>
        <w:rPr>
          <w:rFonts w:hint="eastAsia" w:hAnsi="宋体"/>
          <w:b/>
          <w:szCs w:val="21"/>
        </w:rPr>
        <w:t>八、合同履行时间、履行方式及履行地点</w:t>
      </w:r>
    </w:p>
    <w:p>
      <w:pPr>
        <w:pStyle w:val="26"/>
        <w:snapToGrid w:val="0"/>
        <w:spacing w:line="360" w:lineRule="auto"/>
        <w:ind w:firstLine="420" w:firstLineChars="200"/>
        <w:rPr>
          <w:rFonts w:hAnsi="宋体"/>
          <w:bCs/>
          <w:szCs w:val="21"/>
        </w:rPr>
      </w:pPr>
      <w:r>
        <w:rPr>
          <w:rFonts w:hint="eastAsia" w:hAnsi="宋体"/>
          <w:bCs/>
          <w:szCs w:val="21"/>
        </w:rPr>
        <w:t>1、</w:t>
      </w:r>
      <w:r>
        <w:rPr>
          <w:rFonts w:hint="eastAsia" w:hAnsi="宋体"/>
          <w:szCs w:val="21"/>
        </w:rPr>
        <w:t>履行时间</w:t>
      </w:r>
      <w:r>
        <w:rPr>
          <w:rFonts w:hint="eastAsia" w:hAnsi="宋体"/>
          <w:bCs/>
          <w:szCs w:val="21"/>
        </w:rPr>
        <w:t>：</w:t>
      </w:r>
      <w:r>
        <w:rPr>
          <w:rFonts w:hint="eastAsia" w:hAnsi="宋体"/>
          <w:szCs w:val="21"/>
        </w:rPr>
        <w:t>______________________</w:t>
      </w:r>
    </w:p>
    <w:p>
      <w:pPr>
        <w:pStyle w:val="26"/>
        <w:snapToGrid w:val="0"/>
        <w:spacing w:line="360" w:lineRule="auto"/>
        <w:ind w:firstLine="420" w:firstLineChars="200"/>
        <w:rPr>
          <w:rFonts w:hAnsi="宋体"/>
          <w:bCs/>
          <w:szCs w:val="21"/>
        </w:rPr>
      </w:pPr>
      <w:r>
        <w:rPr>
          <w:rFonts w:hint="eastAsia" w:hAnsi="宋体"/>
          <w:bCs/>
          <w:szCs w:val="21"/>
        </w:rPr>
        <w:t>2、</w:t>
      </w:r>
      <w:r>
        <w:rPr>
          <w:rFonts w:hint="eastAsia" w:hAnsi="宋体"/>
          <w:szCs w:val="21"/>
        </w:rPr>
        <w:t>履行方式</w:t>
      </w:r>
      <w:r>
        <w:rPr>
          <w:rFonts w:hint="eastAsia" w:hAnsi="宋体"/>
          <w:bCs/>
          <w:szCs w:val="21"/>
        </w:rPr>
        <w:t>：</w:t>
      </w:r>
      <w:r>
        <w:rPr>
          <w:rFonts w:hint="eastAsia" w:hAnsi="宋体"/>
          <w:szCs w:val="21"/>
        </w:rPr>
        <w:t>______________________</w:t>
      </w:r>
    </w:p>
    <w:p>
      <w:pPr>
        <w:pStyle w:val="26"/>
        <w:snapToGrid w:val="0"/>
        <w:spacing w:line="360" w:lineRule="auto"/>
        <w:ind w:firstLine="420" w:firstLineChars="200"/>
        <w:rPr>
          <w:rFonts w:hAnsi="宋体"/>
          <w:szCs w:val="21"/>
        </w:rPr>
      </w:pPr>
      <w:r>
        <w:rPr>
          <w:rFonts w:hint="eastAsia" w:hAnsi="宋体"/>
          <w:bCs/>
          <w:szCs w:val="21"/>
        </w:rPr>
        <w:t>3、</w:t>
      </w:r>
      <w:r>
        <w:rPr>
          <w:rFonts w:hint="eastAsia" w:hAnsi="宋体"/>
          <w:szCs w:val="21"/>
        </w:rPr>
        <w:t>履行地点</w:t>
      </w:r>
      <w:r>
        <w:rPr>
          <w:rFonts w:hint="eastAsia" w:hAnsi="宋体"/>
          <w:bCs/>
          <w:szCs w:val="21"/>
        </w:rPr>
        <w:t>：</w:t>
      </w:r>
      <w:r>
        <w:rPr>
          <w:rFonts w:hint="eastAsia" w:hAnsi="宋体"/>
          <w:szCs w:val="21"/>
          <w:u w:val="single"/>
        </w:rPr>
        <w:t>深圳市</w:t>
      </w:r>
    </w:p>
    <w:p>
      <w:pPr>
        <w:snapToGrid w:val="0"/>
        <w:spacing w:line="360" w:lineRule="auto"/>
        <w:ind w:firstLine="422" w:firstLineChars="200"/>
        <w:rPr>
          <w:rFonts w:ascii="宋体" w:hAnsi="宋体"/>
          <w:b/>
          <w:szCs w:val="21"/>
        </w:rPr>
      </w:pPr>
      <w:r>
        <w:rPr>
          <w:rFonts w:hint="eastAsia" w:ascii="宋体" w:hAnsi="宋体"/>
          <w:b/>
          <w:szCs w:val="21"/>
        </w:rPr>
        <w:t>九、验收</w:t>
      </w:r>
    </w:p>
    <w:p>
      <w:pPr>
        <w:snapToGrid w:val="0"/>
        <w:spacing w:line="360" w:lineRule="auto"/>
        <w:ind w:firstLine="420" w:firstLineChars="200"/>
        <w:rPr>
          <w:rFonts w:ascii="宋体" w:hAnsi="宋体"/>
          <w:szCs w:val="21"/>
        </w:rPr>
      </w:pPr>
      <w:r>
        <w:rPr>
          <w:rFonts w:hint="eastAsia" w:ascii="宋体" w:hAnsi="宋体"/>
          <w:szCs w:val="21"/>
        </w:rPr>
        <w:t>1、下列文件的验收分为______个阶段:</w:t>
      </w:r>
    </w:p>
    <w:p>
      <w:pPr>
        <w:snapToGrid w:val="0"/>
        <w:spacing w:line="360" w:lineRule="auto"/>
        <w:ind w:firstLine="420" w:firstLineChars="200"/>
        <w:rPr>
          <w:rFonts w:ascii="宋体" w:hAnsi="宋体"/>
          <w:szCs w:val="21"/>
        </w:rPr>
      </w:pPr>
      <w:r>
        <w:rPr>
          <w:rFonts w:hint="eastAsia" w:ascii="宋体" w:hAnsi="宋体"/>
          <w:szCs w:val="21"/>
        </w:rPr>
        <w:t>2、其余文件和工作由用户组织有关技术人员根据国家和行业有关规范、规程、标准和用户需求直接验收。</w:t>
      </w:r>
    </w:p>
    <w:p>
      <w:pPr>
        <w:snapToGrid w:val="0"/>
        <w:spacing w:line="360" w:lineRule="auto"/>
        <w:ind w:firstLine="420" w:firstLineChars="200"/>
        <w:rPr>
          <w:rFonts w:ascii="宋体" w:hAnsi="宋体"/>
          <w:szCs w:val="21"/>
        </w:rPr>
      </w:pPr>
      <w:r>
        <w:rPr>
          <w:rFonts w:hint="eastAsia" w:ascii="宋体" w:hAnsi="宋体"/>
          <w:szCs w:val="21"/>
        </w:rPr>
        <w:t>3、验收依据为招标文件、中标人投标文件，国家和行业有关规范、规程和标准。</w:t>
      </w:r>
    </w:p>
    <w:p>
      <w:pPr>
        <w:pStyle w:val="26"/>
        <w:snapToGrid w:val="0"/>
        <w:spacing w:line="360" w:lineRule="auto"/>
        <w:ind w:firstLine="422" w:firstLineChars="200"/>
        <w:rPr>
          <w:rFonts w:hAnsi="宋体"/>
          <w:b/>
          <w:szCs w:val="21"/>
        </w:rPr>
      </w:pPr>
      <w:r>
        <w:rPr>
          <w:rFonts w:hint="eastAsia" w:hAnsi="宋体"/>
          <w:b/>
          <w:szCs w:val="21"/>
        </w:rPr>
        <w:t>十、付款方式和税费</w:t>
      </w:r>
    </w:p>
    <w:p>
      <w:pPr>
        <w:pStyle w:val="26"/>
        <w:snapToGrid w:val="0"/>
        <w:spacing w:line="360" w:lineRule="auto"/>
        <w:ind w:firstLine="420" w:firstLineChars="200"/>
        <w:rPr>
          <w:rFonts w:hAnsi="宋体"/>
          <w:bCs/>
          <w:szCs w:val="21"/>
        </w:rPr>
      </w:pPr>
      <w:r>
        <w:rPr>
          <w:rFonts w:hAnsi="宋体" w:cs="宋体"/>
          <w:szCs w:val="21"/>
        </w:rPr>
        <w:t>本合同付款方式为</w:t>
      </w:r>
      <w:r>
        <w:rPr>
          <w:rFonts w:hint="eastAsia" w:hAnsi="宋体" w:cs="宋体"/>
          <w:szCs w:val="21"/>
        </w:rPr>
        <w:t>：</w:t>
      </w:r>
      <w:r>
        <w:rPr>
          <w:rFonts w:hint="eastAsia" w:hAnsi="宋体" w:cs="宋体"/>
          <w:szCs w:val="21"/>
          <w:u w:val="single"/>
        </w:rPr>
        <w:t xml:space="preserve">                </w:t>
      </w:r>
      <w:r>
        <w:rPr>
          <w:rFonts w:hint="eastAsia" w:hAnsi="宋体"/>
          <w:bCs/>
          <w:szCs w:val="21"/>
        </w:rPr>
        <w:t>。</w:t>
      </w:r>
    </w:p>
    <w:p>
      <w:pPr>
        <w:snapToGrid w:val="0"/>
        <w:spacing w:line="360" w:lineRule="auto"/>
        <w:ind w:firstLine="420" w:firstLineChars="200"/>
        <w:rPr>
          <w:rFonts w:ascii="宋体" w:hAnsi="宋体"/>
          <w:szCs w:val="21"/>
        </w:rPr>
      </w:pPr>
      <w:r>
        <w:rPr>
          <w:rFonts w:hint="eastAsia" w:ascii="宋体" w:hAnsi="宋体"/>
          <w:szCs w:val="21"/>
        </w:rPr>
        <w:t>本合同执行中相关的一切税费均由中标人负担。</w:t>
      </w:r>
    </w:p>
    <w:p>
      <w:pPr>
        <w:snapToGrid w:val="0"/>
        <w:spacing w:line="360" w:lineRule="auto"/>
        <w:ind w:firstLine="422" w:firstLineChars="200"/>
        <w:rPr>
          <w:rFonts w:ascii="宋体" w:hAnsi="宋体"/>
          <w:b/>
          <w:bCs/>
          <w:szCs w:val="21"/>
        </w:rPr>
      </w:pPr>
      <w:r>
        <w:rPr>
          <w:rFonts w:hint="eastAsia" w:ascii="宋体" w:hAnsi="宋体"/>
          <w:b/>
          <w:szCs w:val="21"/>
        </w:rPr>
        <w:t>十一、</w:t>
      </w:r>
      <w:r>
        <w:rPr>
          <w:rFonts w:hint="eastAsia" w:ascii="宋体" w:hAnsi="宋体"/>
          <w:b/>
          <w:bCs/>
          <w:szCs w:val="21"/>
        </w:rPr>
        <w:t>争议解决办法</w:t>
      </w:r>
    </w:p>
    <w:p>
      <w:pPr>
        <w:snapToGrid w:val="0"/>
        <w:spacing w:line="360" w:lineRule="auto"/>
        <w:ind w:firstLine="420" w:firstLineChars="200"/>
        <w:rPr>
          <w:rFonts w:ascii="宋体" w:hAnsi="宋体"/>
          <w:szCs w:val="21"/>
        </w:rPr>
      </w:pPr>
      <w:r>
        <w:rPr>
          <w:rFonts w:asciiTheme="minorEastAsia" w:hAnsiTheme="minorEastAsia"/>
          <w:szCs w:val="21"/>
        </w:rPr>
        <w:t>因履行本合同引起的或与本合同有关的争议，甲、乙双方应首先通过友好协商解决，如果协商不能解决争议，则向甲方所在地有管辖权的人民法院提起诉讼</w:t>
      </w:r>
      <w:r>
        <w:rPr>
          <w:rFonts w:hint="eastAsia" w:ascii="宋体" w:hAnsi="宋体"/>
          <w:szCs w:val="21"/>
        </w:rPr>
        <w:t>。</w:t>
      </w:r>
    </w:p>
    <w:p>
      <w:pPr>
        <w:pStyle w:val="26"/>
        <w:snapToGrid w:val="0"/>
        <w:spacing w:line="360" w:lineRule="auto"/>
        <w:ind w:firstLine="422" w:firstLineChars="200"/>
        <w:rPr>
          <w:rFonts w:hAnsi="宋体"/>
          <w:b/>
          <w:szCs w:val="21"/>
        </w:rPr>
      </w:pPr>
      <w:r>
        <w:rPr>
          <w:rFonts w:hint="eastAsia" w:hAnsi="宋体"/>
          <w:b/>
          <w:szCs w:val="21"/>
        </w:rPr>
        <w:t>十二、违约责任</w:t>
      </w:r>
    </w:p>
    <w:p>
      <w:pPr>
        <w:pStyle w:val="26"/>
        <w:snapToGrid w:val="0"/>
        <w:spacing w:line="360" w:lineRule="auto"/>
        <w:ind w:firstLine="420" w:firstLineChars="200"/>
        <w:rPr>
          <w:rFonts w:hAnsi="宋体"/>
          <w:szCs w:val="21"/>
        </w:rPr>
      </w:pPr>
      <w:r>
        <w:rPr>
          <w:rFonts w:hint="eastAsia" w:hAnsi="宋体"/>
          <w:szCs w:val="21"/>
        </w:rPr>
        <w:t>1、因中标人原因，未能按规定完成本项目有关工作的，采购人可在支付合同余款中扣除合同价款</w:t>
      </w:r>
      <w:r>
        <w:rPr>
          <w:rFonts w:hint="eastAsia" w:hAnsi="宋体"/>
          <w:szCs w:val="21"/>
          <w:u w:val="single"/>
        </w:rPr>
        <w:t xml:space="preserve">        </w:t>
      </w:r>
      <w:r>
        <w:rPr>
          <w:rFonts w:hint="eastAsia" w:hAnsi="宋体"/>
          <w:szCs w:val="21"/>
        </w:rPr>
        <w:t>。</w:t>
      </w:r>
    </w:p>
    <w:p>
      <w:pPr>
        <w:snapToGrid w:val="0"/>
        <w:spacing w:line="360" w:lineRule="auto"/>
        <w:ind w:firstLine="420" w:firstLineChars="200"/>
        <w:rPr>
          <w:rFonts w:ascii="宋体" w:hAnsi="宋体"/>
          <w:szCs w:val="21"/>
        </w:rPr>
      </w:pPr>
      <w:r>
        <w:rPr>
          <w:rFonts w:hint="eastAsia" w:ascii="宋体" w:hAnsi="宋体"/>
          <w:szCs w:val="21"/>
        </w:rPr>
        <w:t>2、__________方违反本合同__________约定，应当__________。</w:t>
      </w:r>
    </w:p>
    <w:p>
      <w:pPr>
        <w:snapToGrid w:val="0"/>
        <w:spacing w:line="360" w:lineRule="auto"/>
        <w:ind w:firstLine="422" w:firstLineChars="200"/>
        <w:rPr>
          <w:rFonts w:ascii="宋体" w:hAnsi="宋体"/>
          <w:b/>
          <w:bCs/>
          <w:szCs w:val="21"/>
        </w:rPr>
      </w:pPr>
      <w:r>
        <w:rPr>
          <w:rFonts w:hint="eastAsia" w:ascii="宋体" w:hAnsi="宋体"/>
          <w:b/>
          <w:szCs w:val="21"/>
        </w:rPr>
        <w:t>十三、</w:t>
      </w:r>
      <w:r>
        <w:rPr>
          <w:rFonts w:hint="eastAsia" w:asciiTheme="minorEastAsia" w:hAnsiTheme="minorEastAsia"/>
          <w:b/>
          <w:szCs w:val="21"/>
        </w:rPr>
        <w:t>合同的变更、解除或终止</w:t>
      </w:r>
    </w:p>
    <w:p>
      <w:pPr>
        <w:snapToGrid w:val="0"/>
        <w:spacing w:line="360" w:lineRule="auto"/>
        <w:ind w:firstLine="420" w:firstLineChars="200"/>
        <w:rPr>
          <w:rFonts w:ascii="宋体" w:hAnsi="宋体"/>
          <w:b/>
          <w:bCs/>
          <w:szCs w:val="21"/>
        </w:rPr>
      </w:pPr>
      <w:r>
        <w:rPr>
          <w:rFonts w:hint="eastAsia" w:ascii="宋体" w:hAnsi="宋体"/>
          <w:szCs w:val="21"/>
        </w:rPr>
        <w:t>除政府采购合同继续履行将损害国家利益和社会公共利益外，双方当事人不得擅自变更、中止或者终止合同。</w:t>
      </w:r>
    </w:p>
    <w:p>
      <w:pPr>
        <w:snapToGrid w:val="0"/>
        <w:spacing w:line="360" w:lineRule="auto"/>
        <w:ind w:firstLine="422" w:firstLineChars="200"/>
        <w:rPr>
          <w:rFonts w:ascii="宋体" w:hAnsi="宋体"/>
          <w:b/>
          <w:bCs/>
          <w:szCs w:val="21"/>
        </w:rPr>
      </w:pPr>
      <w:r>
        <w:rPr>
          <w:rFonts w:hint="eastAsia" w:ascii="宋体" w:hAnsi="宋体"/>
          <w:b/>
          <w:szCs w:val="21"/>
        </w:rPr>
        <w:t>十四、</w:t>
      </w:r>
      <w:r>
        <w:rPr>
          <w:rFonts w:hint="eastAsia" w:asciiTheme="minorEastAsia" w:hAnsiTheme="minorEastAsia"/>
          <w:b/>
          <w:szCs w:val="21"/>
        </w:rPr>
        <w:t>合同生效及其他</w:t>
      </w:r>
    </w:p>
    <w:p>
      <w:pPr>
        <w:snapToGrid w:val="0"/>
        <w:spacing w:line="360" w:lineRule="auto"/>
        <w:ind w:firstLine="420" w:firstLineChars="200"/>
        <w:rPr>
          <w:rFonts w:ascii="宋体" w:hAnsi="宋体"/>
          <w:szCs w:val="21"/>
        </w:rPr>
      </w:pPr>
      <w:r>
        <w:rPr>
          <w:rFonts w:hint="eastAsia" w:ascii="宋体" w:hAnsi="宋体"/>
          <w:szCs w:val="21"/>
        </w:rPr>
        <w:t>1、本合同与招标文件、中标人投标文件如有抵触之处，以本合同条款为准。</w:t>
      </w:r>
    </w:p>
    <w:p>
      <w:pPr>
        <w:snapToGrid w:val="0"/>
        <w:spacing w:line="360" w:lineRule="auto"/>
        <w:ind w:firstLine="420" w:firstLineChars="200"/>
        <w:rPr>
          <w:rFonts w:ascii="宋体" w:hAnsi="宋体"/>
          <w:szCs w:val="21"/>
        </w:rPr>
      </w:pPr>
      <w:r>
        <w:rPr>
          <w:rFonts w:hint="eastAsia" w:ascii="宋体" w:hAnsi="宋体"/>
          <w:szCs w:val="21"/>
        </w:rPr>
        <w:t>2、下列文件均为本合同的组成部分：</w:t>
      </w:r>
    </w:p>
    <w:p>
      <w:pPr>
        <w:snapToGrid w:val="0"/>
        <w:spacing w:line="360" w:lineRule="auto"/>
        <w:ind w:firstLine="420" w:firstLineChars="200"/>
        <w:rPr>
          <w:rFonts w:ascii="宋体" w:hAnsi="宋体"/>
          <w:szCs w:val="21"/>
        </w:rPr>
      </w:pPr>
      <w:r>
        <w:rPr>
          <w:rFonts w:hint="eastAsia" w:ascii="宋体" w:hAnsi="宋体"/>
          <w:szCs w:val="21"/>
        </w:rPr>
        <w:t>（1）招标文件、答疑及补充通知；</w:t>
      </w:r>
    </w:p>
    <w:p>
      <w:pPr>
        <w:snapToGrid w:val="0"/>
        <w:spacing w:line="360" w:lineRule="auto"/>
        <w:ind w:firstLine="420" w:firstLineChars="200"/>
        <w:rPr>
          <w:rFonts w:ascii="宋体" w:hAnsi="宋体"/>
          <w:szCs w:val="21"/>
        </w:rPr>
      </w:pPr>
      <w:r>
        <w:rPr>
          <w:rFonts w:hint="eastAsia" w:ascii="宋体" w:hAnsi="宋体"/>
          <w:szCs w:val="21"/>
        </w:rPr>
        <w:t>（2）</w:t>
      </w:r>
      <w:r>
        <w:rPr>
          <w:rFonts w:asciiTheme="minorEastAsia" w:hAnsiTheme="minorEastAsia"/>
          <w:szCs w:val="21"/>
        </w:rPr>
        <w:t>乙方的</w:t>
      </w:r>
      <w:r>
        <w:rPr>
          <w:rFonts w:hint="eastAsia" w:ascii="宋体" w:hAnsi="宋体"/>
          <w:szCs w:val="21"/>
        </w:rPr>
        <w:t>投标文件；</w:t>
      </w:r>
    </w:p>
    <w:p>
      <w:pPr>
        <w:snapToGrid w:val="0"/>
        <w:spacing w:line="360" w:lineRule="auto"/>
        <w:ind w:firstLine="420" w:firstLineChars="200"/>
        <w:rPr>
          <w:rFonts w:ascii="宋体" w:hAnsi="宋体"/>
          <w:szCs w:val="21"/>
        </w:rPr>
      </w:pPr>
      <w:r>
        <w:rPr>
          <w:rFonts w:hint="eastAsia" w:ascii="宋体" w:hAnsi="宋体"/>
          <w:szCs w:val="21"/>
        </w:rPr>
        <w:t>（3）本合同执行中共同签署的补充与修正文件。</w:t>
      </w:r>
    </w:p>
    <w:p>
      <w:pPr>
        <w:snapToGrid w:val="0"/>
        <w:spacing w:line="360" w:lineRule="auto"/>
        <w:ind w:firstLine="420" w:firstLineChars="200"/>
        <w:rPr>
          <w:rFonts w:ascii="宋体" w:hAnsi="宋体"/>
          <w:szCs w:val="21"/>
        </w:rPr>
      </w:pPr>
      <w:r>
        <w:rPr>
          <w:rFonts w:hint="eastAsia" w:ascii="宋体" w:hAnsi="宋体"/>
          <w:szCs w:val="21"/>
        </w:rPr>
        <w:t>3、本合同一式_____份，甲、中标人双方各执_____份，具有同等法律效力。本合同自双方法定代表人签字（盖章）认可之日起生效。</w:t>
      </w:r>
    </w:p>
    <w:p>
      <w:pPr>
        <w:snapToGrid w:val="0"/>
        <w:spacing w:line="360" w:lineRule="auto"/>
        <w:ind w:firstLine="420" w:firstLineChars="200"/>
        <w:rPr>
          <w:rFonts w:ascii="宋体" w:hAnsi="宋体"/>
          <w:szCs w:val="21"/>
        </w:rPr>
      </w:pPr>
      <w:r>
        <w:rPr>
          <w:rFonts w:hint="eastAsia" w:ascii="宋体" w:hAnsi="宋体"/>
          <w:szCs w:val="21"/>
        </w:rPr>
        <w:t>4、本合同未尽事宜，双方友好协商，达成解决方案，经双方签字后，可作为本合同的有效附件。</w:t>
      </w:r>
    </w:p>
    <w:p>
      <w:pPr>
        <w:pStyle w:val="26"/>
        <w:snapToGrid w:val="0"/>
        <w:spacing w:line="360" w:lineRule="auto"/>
        <w:ind w:firstLine="420" w:firstLineChars="200"/>
        <w:rPr>
          <w:rFonts w:hAnsi="宋体"/>
          <w:szCs w:val="21"/>
        </w:rPr>
      </w:pPr>
      <w:r>
        <w:rPr>
          <w:rFonts w:hint="eastAsia" w:hAnsi="宋体"/>
          <w:szCs w:val="21"/>
        </w:rPr>
        <w:t>附件：</w:t>
      </w:r>
    </w:p>
    <w:p>
      <w:pPr>
        <w:snapToGrid w:val="0"/>
        <w:spacing w:line="360" w:lineRule="auto"/>
        <w:ind w:firstLine="420" w:firstLineChars="200"/>
        <w:rPr>
          <w:rFonts w:ascii="宋体" w:hAnsi="宋体"/>
          <w:szCs w:val="21"/>
        </w:rPr>
      </w:pPr>
      <w:r>
        <w:rPr>
          <w:rFonts w:hint="eastAsia" w:ascii="宋体" w:hAnsi="宋体"/>
          <w:szCs w:val="21"/>
        </w:rPr>
        <w:t>1、《中标通知书》</w:t>
      </w:r>
    </w:p>
    <w:p>
      <w:pPr>
        <w:snapToGrid w:val="0"/>
        <w:spacing w:line="360" w:lineRule="auto"/>
        <w:ind w:firstLine="420" w:firstLineChars="200"/>
        <w:rPr>
          <w:rFonts w:ascii="宋体" w:hAnsi="宋体"/>
          <w:szCs w:val="21"/>
        </w:rPr>
      </w:pPr>
      <w:r>
        <w:rPr>
          <w:rFonts w:hint="eastAsia" w:ascii="宋体" w:hAnsi="宋体"/>
          <w:szCs w:val="21"/>
        </w:rPr>
        <w:t>2、《投标文件》</w:t>
      </w:r>
    </w:p>
    <w:p>
      <w:pPr>
        <w:snapToGrid w:val="0"/>
        <w:spacing w:line="360" w:lineRule="auto"/>
        <w:ind w:firstLine="420" w:firstLineChars="200"/>
        <w:rPr>
          <w:rFonts w:ascii="宋体" w:hAnsi="宋体"/>
          <w:szCs w:val="21"/>
        </w:rPr>
      </w:pPr>
      <w:r>
        <w:rPr>
          <w:rFonts w:hint="eastAsia" w:ascii="宋体" w:hAnsi="宋体"/>
          <w:szCs w:val="21"/>
        </w:rPr>
        <w:t>3、《招标文件》</w:t>
      </w:r>
    </w:p>
    <w:p>
      <w:pPr>
        <w:snapToGrid w:val="0"/>
        <w:spacing w:line="360" w:lineRule="auto"/>
        <w:rPr>
          <w:rFonts w:ascii="宋体" w:hAnsi="宋体"/>
          <w:szCs w:val="21"/>
        </w:rPr>
      </w:pP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甲方（采购人）：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 xml:space="preserve">章）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乙方（</w:t>
      </w:r>
      <w:r>
        <w:rPr>
          <w:rFonts w:hint="eastAsia" w:asciiTheme="minorEastAsia" w:hAnsiTheme="minorEastAsia"/>
          <w:szCs w:val="21"/>
        </w:rPr>
        <w:t>中标人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法定代表人（签字或盖私章）：</w:t>
      </w:r>
      <w:r>
        <w:rPr>
          <w:rFonts w:asciiTheme="minorEastAsia" w:hAnsiTheme="minorEastAsia"/>
          <w:szCs w:val="21"/>
        </w:rPr>
        <w:t xml:space="preserve">                 法定代表人</w:t>
      </w:r>
      <w:r>
        <w:rPr>
          <w:rFonts w:hint="eastAsia" w:asciiTheme="minorEastAsia" w:hAnsiTheme="minorEastAsia"/>
          <w:szCs w:val="21"/>
        </w:rPr>
        <w:t>（签字或盖私章）</w:t>
      </w:r>
      <w:r>
        <w:rPr>
          <w:rFonts w:asciiTheme="minorEastAsia" w:hAnsiTheme="minorEastAsia"/>
          <w:szCs w:val="21"/>
        </w:rPr>
        <w:t xml:space="preserve">： </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委托代理人：</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委托代理人：</w:t>
      </w:r>
    </w:p>
    <w:p>
      <w:pPr>
        <w:spacing w:line="360" w:lineRule="auto"/>
        <w:ind w:firstLine="424" w:firstLineChars="202"/>
        <w:rPr>
          <w:rFonts w:asciiTheme="minorEastAsia" w:hAnsiTheme="minorEastAsia"/>
          <w:b/>
          <w:szCs w:val="21"/>
        </w:rPr>
      </w:pPr>
      <w:r>
        <w:rPr>
          <w:rFonts w:hint="eastAsia" w:asciiTheme="minorEastAsia" w:hAnsiTheme="minorEastAsia"/>
          <w:szCs w:val="21"/>
        </w:rPr>
        <w:t>日期：</w:t>
      </w:r>
      <w:r>
        <w:rPr>
          <w:rFonts w:asciiTheme="minorEastAsia" w:hAnsiTheme="minorEastAsia"/>
          <w:szCs w:val="21"/>
        </w:rPr>
        <w:t xml:space="preserve">   年     月    日    </w:t>
      </w:r>
      <w:r>
        <w:rPr>
          <w:rFonts w:hint="eastAsia" w:asciiTheme="minorEastAsia" w:hAnsiTheme="minorEastAsia"/>
          <w:szCs w:val="21"/>
        </w:rPr>
        <w:t xml:space="preserve">              </w:t>
      </w:r>
      <w:r>
        <w:rPr>
          <w:rFonts w:asciiTheme="minorEastAsia" w:hAnsiTheme="minorEastAsia"/>
          <w:szCs w:val="21"/>
        </w:rPr>
        <w:t xml:space="preserve">  日期：   年     月    日</w:t>
      </w:r>
    </w:p>
    <w:p>
      <w:pPr>
        <w:jc w:val="center"/>
        <w:rPr>
          <w:b/>
          <w:sz w:val="52"/>
          <w:szCs w:val="52"/>
        </w:rPr>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pStyle w:val="2"/>
      </w:pPr>
      <w:bookmarkStart w:id="95" w:name="_Toc73610161"/>
      <w:bookmarkStart w:id="96" w:name="_Toc135293193"/>
      <w:r>
        <w:rPr>
          <w:rFonts w:hint="eastAsia"/>
        </w:rPr>
        <w:t>第九章  附件</w:t>
      </w:r>
      <w:bookmarkEnd w:id="95"/>
      <w:bookmarkEnd w:id="96"/>
    </w:p>
    <w:p>
      <w:pPr>
        <w:pStyle w:val="4"/>
        <w:spacing w:before="0" w:after="0"/>
      </w:pPr>
      <w:bookmarkStart w:id="97" w:name="_Toc73610162"/>
      <w:bookmarkStart w:id="98" w:name="_Toc73613644"/>
      <w:bookmarkStart w:id="99" w:name="_Toc135293194"/>
      <w:r>
        <w:rPr>
          <w:rFonts w:hint="eastAsia"/>
        </w:rPr>
        <w:t>一、财政部 工业和信息化部关于印发《政府采购促进中小企业发展管理办法》的通知</w:t>
      </w:r>
      <w:bookmarkEnd w:id="97"/>
      <w:bookmarkEnd w:id="98"/>
      <w:bookmarkEnd w:id="99"/>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财库〔2020〕46号</w:t>
      </w:r>
    </w:p>
    <w:p>
      <w:pPr>
        <w:widowControl/>
        <w:shd w:val="clear" w:color="auto" w:fill="FFFFFF"/>
        <w:spacing w:line="360" w:lineRule="auto"/>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各中央预算单位办公厅（室），各省、自治区、直辖市、计划单列市财政厅（局）、工业和信息化主管部门，新疆生产建设兵团财政局、工业和信息化主管部门：</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附件：政府采购促进中小企业发展管理办法</w:t>
      </w:r>
    </w:p>
    <w:p>
      <w:pPr>
        <w:widowControl/>
        <w:shd w:val="clear" w:color="auto" w:fill="FFFFFF"/>
        <w:spacing w:line="360" w:lineRule="auto"/>
        <w:jc w:val="right"/>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财　　政　　部</w:t>
      </w:r>
    </w:p>
    <w:p>
      <w:pPr>
        <w:widowControl/>
        <w:shd w:val="clear" w:color="auto" w:fill="FFFFFF"/>
        <w:spacing w:line="360" w:lineRule="auto"/>
        <w:jc w:val="right"/>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工业和信息化部</w:t>
      </w:r>
    </w:p>
    <w:p>
      <w:pPr>
        <w:widowControl/>
        <w:shd w:val="clear" w:color="auto" w:fill="FFFFFF"/>
        <w:spacing w:line="360" w:lineRule="auto"/>
        <w:jc w:val="right"/>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2020年12月18日</w:t>
      </w:r>
    </w:p>
    <w:p>
      <w:pPr>
        <w:widowControl/>
        <w:shd w:val="clear" w:color="auto" w:fill="FFFFFF"/>
        <w:spacing w:line="360" w:lineRule="auto"/>
        <w:ind w:firstLine="480"/>
        <w:rPr>
          <w:rFonts w:cs="宋体" w:asciiTheme="minorEastAsia" w:hAnsiTheme="minorEastAsia" w:eastAsiaTheme="minorEastAsia"/>
          <w:color w:val="333333"/>
          <w:kern w:val="0"/>
          <w:szCs w:val="21"/>
        </w:rPr>
      </w:pPr>
    </w:p>
    <w:p>
      <w:pPr>
        <w:widowControl/>
        <w:shd w:val="clear" w:color="auto" w:fill="FFFFFF"/>
        <w:spacing w:line="360" w:lineRule="auto"/>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附件</w:t>
      </w:r>
    </w:p>
    <w:p>
      <w:pPr>
        <w:widowControl/>
        <w:shd w:val="clear" w:color="auto" w:fill="FFFFFF"/>
        <w:spacing w:line="360" w:lineRule="auto"/>
        <w:ind w:firstLine="480"/>
        <w:rPr>
          <w:rFonts w:cs="宋体" w:asciiTheme="minorEastAsia" w:hAnsiTheme="minorEastAsia" w:eastAsiaTheme="minorEastAsia"/>
          <w:color w:val="333333"/>
          <w:kern w:val="0"/>
          <w:szCs w:val="21"/>
        </w:rPr>
      </w:pPr>
    </w:p>
    <w:p>
      <w:pPr>
        <w:widowControl/>
        <w:shd w:val="clear" w:color="auto" w:fill="FFFFFF"/>
        <w:spacing w:line="360" w:lineRule="auto"/>
        <w:jc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政府采购促进中小企业发展管理办法</w:t>
      </w:r>
    </w:p>
    <w:p>
      <w:pPr>
        <w:widowControl/>
        <w:shd w:val="clear" w:color="auto" w:fill="FFFFFF"/>
        <w:spacing w:line="360" w:lineRule="auto"/>
        <w:ind w:firstLine="480"/>
        <w:rPr>
          <w:rFonts w:cs="宋体" w:asciiTheme="minorEastAsia" w:hAnsiTheme="minorEastAsia" w:eastAsiaTheme="minorEastAsia"/>
          <w:color w:val="333333"/>
          <w:kern w:val="0"/>
          <w:szCs w:val="21"/>
        </w:rPr>
      </w:pP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第一条</w:t>
      </w:r>
      <w:r>
        <w:rPr>
          <w:rFonts w:hint="eastAsia" w:cs="宋体" w:asciiTheme="minorEastAsia" w:hAnsiTheme="minorEastAsia" w:eastAsiaTheme="minorEastAsia"/>
          <w:color w:val="333333"/>
          <w:kern w:val="0"/>
          <w:szCs w:val="21"/>
        </w:rPr>
        <w:t>　为了发挥政府采购的政策功能，促进中小企业健康发展，根据《中华人民共和国政府采购法》、《中华人民共和国中小企业促进法》等有关法律法规，制定本办法。</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第二条</w:t>
      </w:r>
      <w:r>
        <w:rPr>
          <w:rFonts w:hint="eastAsia" w:cs="宋体" w:asciiTheme="minorEastAsia" w:hAnsiTheme="minorEastAsia" w:eastAsiaTheme="minorEastAsia"/>
          <w:color w:val="333333"/>
          <w:kern w:val="0"/>
          <w:szCs w:val="21"/>
        </w:rPr>
        <w:t>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符合中小企业划分标准的个体工商户，在政府采购活动中视同中小企业。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第三条</w:t>
      </w:r>
      <w:r>
        <w:rPr>
          <w:rFonts w:hint="eastAsia" w:cs="宋体" w:asciiTheme="minorEastAsia" w:hAnsiTheme="minorEastAsia" w:eastAsiaTheme="minorEastAsia"/>
          <w:color w:val="333333"/>
          <w:kern w:val="0"/>
          <w:szCs w:val="21"/>
        </w:rPr>
        <w:t>　采购人在政府采购活动中应当通过加强采购需求管理，落实预留采购份额、价格评审优惠、优先采购等措施，提高中小企业在政府采购中的份额，支持中小企业发展。</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第四条</w:t>
      </w:r>
      <w:r>
        <w:rPr>
          <w:rFonts w:hint="eastAsia" w:cs="宋体" w:asciiTheme="minorEastAsia" w:hAnsiTheme="minorEastAsia" w:eastAsiaTheme="minorEastAsia"/>
          <w:color w:val="333333"/>
          <w:kern w:val="0"/>
          <w:szCs w:val="21"/>
        </w:rPr>
        <w:t>　在政府采购活动中，供应商提供的货物、工程或者服务符合下列情形的，享受本办法规定的中小企业扶持政策：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（一）在货物采购项目中，货物由中小企业制造，即货物由中小企业生产且使用该中小企业商号或者注册商标；</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（二）在工程采购项目中，工程由中小企业承建，即工程施工单位为中小企业；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（三）在服务采购项目中，服务由中小企业承接，即提供服务的人员为中小企业依照《中华人民共和国劳动合同法》订立劳动合同的从业人员。</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在货物采购项目中，供应商提供的货物既有中小企业制造货物，也有大型企业制造货物的，不享受本办法规定的中小企业扶持政策。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以联合体形式参加政府采购活动，联合体各方均为中小企业的，联合体视同中小企业。其中，联合体各方均为小微企业的，联合体视同小微企业。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第五条</w:t>
      </w:r>
      <w:r>
        <w:rPr>
          <w:rFonts w:hint="eastAsia" w:cs="宋体" w:asciiTheme="minorEastAsia" w:hAnsiTheme="minorEastAsia" w:eastAsiaTheme="minorEastAsia"/>
          <w:color w:val="333333"/>
          <w:kern w:val="0"/>
          <w:szCs w:val="21"/>
        </w:rPr>
        <w:t>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第六条</w:t>
      </w:r>
      <w:r>
        <w:rPr>
          <w:rFonts w:hint="eastAsia" w:cs="宋体" w:asciiTheme="minorEastAsia" w:hAnsiTheme="minorEastAsia" w:eastAsiaTheme="minorEastAsia"/>
          <w:color w:val="333333"/>
          <w:kern w:val="0"/>
          <w:szCs w:val="21"/>
        </w:rPr>
        <w:t>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符合下列情形之一的，可不专门面向中小企业预留采购份额：</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（一）法律法规和国家有关政策明确规定优先或者应当面向事业单位、社会组织等非企业主体采购的；</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（二）因确需使用不可替代的专利、专有技术，基础设施限制，或者提供特定公共服务等原因，只能从中小企业之外的供应商处采购的；</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（三）按照本办法规定预留采购份额无法确保充分供应、充分竞争，或者存在可能影响政府采购目标实现的情形；</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（四）框架协议采购项目；</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（五）省级以上人民政府财政部门规定的其他情形。</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除上述情形外，其他均为适宜由中小企业提供的情形。</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第七条</w:t>
      </w:r>
      <w:r>
        <w:rPr>
          <w:rFonts w:hint="eastAsia" w:cs="宋体" w:asciiTheme="minorEastAsia" w:hAnsiTheme="minorEastAsia" w:eastAsiaTheme="minorEastAsia"/>
          <w:color w:val="333333"/>
          <w:kern w:val="0"/>
          <w:szCs w:val="21"/>
        </w:rPr>
        <w:t>　采购限额标准以上，200万元以下的货物和服务采购项目、400万元以下的工程采购项目，适宜由中小企业提供的，采购人应当专门面向中小企业采购。</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第八条</w:t>
      </w:r>
      <w:r>
        <w:rPr>
          <w:rFonts w:hint="eastAsia" w:cs="宋体" w:asciiTheme="minorEastAsia" w:hAnsiTheme="minorEastAsia" w:eastAsiaTheme="minorEastAsia"/>
          <w:color w:val="333333"/>
          <w:kern w:val="0"/>
          <w:szCs w:val="21"/>
        </w:rPr>
        <w:t>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（一）将采购项目整体或者设置采购包专门面向中小企业采购；</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（二）要求供应商以联合体形式参加采购活动，且联合体中中小企业承担的部分达到一定比例；</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（三）要求获得采购合同的供应商将采购项目中的一定比例分包给一家或者多家中小企业。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组成联合体或者接受分包合同的中小企业与联合体内其他企业、分包企业之间不得存在直接控股、管理关系。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第九条</w:t>
      </w:r>
      <w:r>
        <w:rPr>
          <w:rFonts w:hint="eastAsia" w:cs="宋体" w:asciiTheme="minorEastAsia" w:hAnsiTheme="minorEastAsia" w:eastAsiaTheme="minorEastAsia"/>
          <w:color w:val="333333"/>
          <w:kern w:val="0"/>
          <w:szCs w:val="21"/>
        </w:rPr>
        <w:t>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第十条</w:t>
      </w:r>
      <w:r>
        <w:rPr>
          <w:rFonts w:hint="eastAsia" w:cs="宋体" w:asciiTheme="minorEastAsia" w:hAnsiTheme="minorEastAsia" w:eastAsiaTheme="minorEastAsia"/>
          <w:color w:val="333333"/>
          <w:kern w:val="0"/>
          <w:szCs w:val="21"/>
        </w:rPr>
        <w:t>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第十一条</w:t>
      </w:r>
      <w:r>
        <w:rPr>
          <w:rFonts w:hint="eastAsia" w:cs="宋体" w:asciiTheme="minorEastAsia" w:hAnsiTheme="minorEastAsia" w:eastAsiaTheme="minorEastAsia"/>
          <w:color w:val="333333"/>
          <w:kern w:val="0"/>
          <w:szCs w:val="21"/>
        </w:rPr>
        <w:t>　中小企业参加政府采购活动，应当出具本办法规定的《中小企业声明函》（附1），否则不得享受相关中小企业扶持政策。任何单位和个人不得要求供应商提供《中小企业声明函》之外的中小企业身份证明文件。</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第十二条</w:t>
      </w:r>
      <w:r>
        <w:rPr>
          <w:rFonts w:hint="eastAsia" w:cs="宋体" w:asciiTheme="minorEastAsia" w:hAnsiTheme="minorEastAsia" w:eastAsiaTheme="minorEastAsia"/>
          <w:color w:val="333333"/>
          <w:kern w:val="0"/>
          <w:szCs w:val="21"/>
        </w:rPr>
        <w:t>　采购项目涉及中小企业采购的，采购文件应当明确以下内容：</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（一）预留份额的采购项目或者采购包，明确该项目或相关采购包专门面向中小企业采购，以及相关标的及预算金额；</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（二）要求以联合体形式参加或者合同分包的，明确联合协议或者分包意向协议中中小企业合同金额应当达到的比例，并作为供应商资格条件；</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（三）非预留份额的采购项目或者采购包，明确有关价格扣除比例或者价格分加分比例；</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（四）规定依据本办法规定享受扶持政策获得政府采购合同的，小微企业不得将合同分包给大中型企业，中型企业不得将合同分包给大型企业；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（五）采购人认为具备相关条件的，明确对中小企业在资金支付期限、预付款比例等方面的优惠措施；</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（六）明确采购标的对应的中小企业划分标准所属行业；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（七）法律法规和省级以上人民政府财政部门规定的其他事项。</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第十三条</w:t>
      </w:r>
      <w:r>
        <w:rPr>
          <w:rFonts w:hint="eastAsia" w:cs="宋体" w:asciiTheme="minorEastAsia" w:hAnsiTheme="minorEastAsia" w:eastAsiaTheme="minorEastAsia"/>
          <w:color w:val="333333"/>
          <w:kern w:val="0"/>
          <w:szCs w:val="21"/>
        </w:rPr>
        <w:t>　中标、成交供应商享受本办法规定的中小企业扶持政策的，采购人、采购代理机构应当随中标、成交结果公开中标、成交供应商的《中小企业声明函》。</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适用招标投标法的政府采购工程建设项目，应当在公示中标候选人时公开中标候选人的《中小企业声明函》。</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第十四条</w:t>
      </w:r>
      <w:r>
        <w:rPr>
          <w:rFonts w:hint="eastAsia" w:cs="宋体" w:asciiTheme="minorEastAsia" w:hAnsiTheme="minorEastAsia" w:eastAsiaTheme="minorEastAsia"/>
          <w:color w:val="333333"/>
          <w:kern w:val="0"/>
          <w:szCs w:val="21"/>
        </w:rPr>
        <w:t>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第十五条</w:t>
      </w:r>
      <w:r>
        <w:rPr>
          <w:rFonts w:hint="eastAsia" w:cs="宋体" w:asciiTheme="minorEastAsia" w:hAnsiTheme="minorEastAsia" w:eastAsiaTheme="minorEastAsia"/>
          <w:color w:val="333333"/>
          <w:kern w:val="0"/>
          <w:szCs w:val="21"/>
        </w:rPr>
        <w:t>　鼓励各地区、各部门在采购活动中允许中小企业引入信用担保手段，为中小企业在投标（响应）保证、履约保证等方面提供专业化服务。鼓励中小企业依法合规通过政府采购合同融资。</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第十六条</w:t>
      </w:r>
      <w:r>
        <w:rPr>
          <w:rFonts w:hint="eastAsia" w:cs="宋体" w:asciiTheme="minorEastAsia" w:hAnsiTheme="minorEastAsia" w:eastAsiaTheme="minorEastAsia"/>
          <w:color w:val="333333"/>
          <w:kern w:val="0"/>
          <w:szCs w:val="21"/>
        </w:rPr>
        <w:t>　政府采购监督检查、投诉处理及政府采购行政处罚中对中小企业的认定，由货物制造商或者工程、服务供应商注册登记所在地的县级以上人民政府中小企业主管部门负责。</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中小企业主管部门应当在收到财政部门或者有关招标投标行政监督部门关于协助开展中小企业认定函后10个工作日内做出书面答复。</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第十七条</w:t>
      </w:r>
      <w:r>
        <w:rPr>
          <w:rFonts w:hint="eastAsia" w:cs="宋体" w:asciiTheme="minorEastAsia" w:hAnsiTheme="minorEastAsia" w:eastAsiaTheme="minorEastAsia"/>
          <w:color w:val="333333"/>
          <w:kern w:val="0"/>
          <w:szCs w:val="21"/>
        </w:rPr>
        <w:t>　各地区、各部门应当对涉及中小企业采购的预算项目实施全过程绩效管理，合理设置绩效目标和指标，落实扶持中小企业有关政策要求，定期开展绩效监控和评价，强化绩效评价结果应用。</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第十八条</w:t>
      </w:r>
      <w:r>
        <w:rPr>
          <w:rFonts w:hint="eastAsia" w:cs="宋体" w:asciiTheme="minorEastAsia" w:hAnsiTheme="minorEastAsia" w:eastAsiaTheme="minorEastAsia"/>
          <w:color w:val="333333"/>
          <w:kern w:val="0"/>
          <w:szCs w:val="21"/>
        </w:rPr>
        <w:t>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第十九条</w:t>
      </w:r>
      <w:r>
        <w:rPr>
          <w:rFonts w:hint="eastAsia" w:cs="宋体" w:asciiTheme="minorEastAsia" w:hAnsiTheme="minorEastAsia" w:eastAsiaTheme="minorEastAsia"/>
          <w:color w:val="333333"/>
          <w:kern w:val="0"/>
          <w:szCs w:val="21"/>
        </w:rPr>
        <w:t>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第二十条</w:t>
      </w:r>
      <w:r>
        <w:rPr>
          <w:rFonts w:hint="eastAsia" w:cs="宋体" w:asciiTheme="minorEastAsia" w:hAnsiTheme="minorEastAsia" w:eastAsiaTheme="minorEastAsia"/>
          <w:color w:val="333333"/>
          <w:kern w:val="0"/>
          <w:szCs w:val="21"/>
        </w:rPr>
        <w:t>　供应商按照本办法规定提供声明函内容不实的，属于提供虚假材料谋取中标、成交，依照《中华人民共和国政府采购法》等国家有关规定追究相应责任。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适用招标投标法的政府采购工程建设项目，投标人按照本办法规定提供声明函内容不实的，属于弄虚作假骗取中标，依照《中华人民共和国招标投标法》等国家有关规定追究相应责任。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第二十一条</w:t>
      </w:r>
      <w:r>
        <w:rPr>
          <w:rFonts w:hint="eastAsia" w:cs="宋体" w:asciiTheme="minorEastAsia" w:hAnsiTheme="minorEastAsia" w:eastAsiaTheme="minorEastAsia"/>
          <w:color w:val="333333"/>
          <w:kern w:val="0"/>
          <w:szCs w:val="21"/>
        </w:rPr>
        <w:t>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第二十二条</w:t>
      </w:r>
      <w:r>
        <w:rPr>
          <w:rFonts w:hint="eastAsia" w:cs="宋体" w:asciiTheme="minorEastAsia" w:hAnsiTheme="minorEastAsia" w:eastAsiaTheme="minorEastAsia"/>
          <w:color w:val="333333"/>
          <w:kern w:val="0"/>
          <w:szCs w:val="21"/>
        </w:rPr>
        <w:t>　对外援助项目、国家相关资格或者资质管理制度另有规定的项目，不适用本办法。</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第二十三条</w:t>
      </w:r>
      <w:r>
        <w:rPr>
          <w:rFonts w:hint="eastAsia" w:cs="宋体" w:asciiTheme="minorEastAsia" w:hAnsiTheme="minorEastAsia" w:eastAsiaTheme="minorEastAsia"/>
          <w:color w:val="333333"/>
          <w:kern w:val="0"/>
          <w:szCs w:val="21"/>
        </w:rPr>
        <w:t>　关于视同中小企业的其他主体的政府采购扶持政策，由财政部会同有关部门另行规定。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第二十四条</w:t>
      </w:r>
      <w:r>
        <w:rPr>
          <w:rFonts w:hint="eastAsia" w:cs="宋体" w:asciiTheme="minorEastAsia" w:hAnsiTheme="minorEastAsia" w:eastAsiaTheme="minorEastAsia"/>
          <w:color w:val="333333"/>
          <w:kern w:val="0"/>
          <w:szCs w:val="21"/>
        </w:rPr>
        <w:t>　省级财政部门可以会同中小企业主管部门根据本办法的规定制定具体实施办法。</w:t>
      </w:r>
    </w:p>
    <w:p>
      <w:pPr>
        <w:widowControl/>
        <w:shd w:val="clear" w:color="auto" w:fill="FFFFFF"/>
        <w:spacing w:line="360" w:lineRule="auto"/>
        <w:ind w:firstLine="480"/>
        <w:jc w:val="left"/>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第二十五条</w:t>
      </w:r>
      <w:r>
        <w:rPr>
          <w:rFonts w:hint="eastAsia" w:cs="宋体" w:asciiTheme="minorEastAsia" w:hAnsiTheme="minorEastAsia" w:eastAsiaTheme="minorEastAsia"/>
          <w:color w:val="333333"/>
          <w:kern w:val="0"/>
          <w:szCs w:val="21"/>
        </w:rPr>
        <w:t>　本办法自2021年1月1日起施行。《财政部 工业和信息化部关于印发〈政府采购促进中小企业发展暂行办法〉的通知》（财库〔2011〕181号）同时废止。</w:t>
      </w:r>
    </w:p>
    <w:p>
      <w:pPr>
        <w:widowControl/>
        <w:shd w:val="clear" w:color="auto" w:fill="FFFFFF"/>
        <w:spacing w:line="360" w:lineRule="auto"/>
        <w:ind w:firstLine="480"/>
        <w:jc w:val="left"/>
        <w:rPr>
          <w:rFonts w:cs="宋体" w:asciiTheme="minorEastAsia" w:hAnsiTheme="minorEastAsia" w:eastAsiaTheme="minorEastAsia"/>
          <w:color w:val="333333"/>
          <w:kern w:val="0"/>
          <w:szCs w:val="21"/>
        </w:rPr>
      </w:pPr>
    </w:p>
    <w:p>
      <w:pPr>
        <w:spacing w:line="360" w:lineRule="auto"/>
        <w:rPr>
          <w:rFonts w:asciiTheme="minorEastAsia" w:hAnsiTheme="minorEastAsia" w:eastAsiaTheme="minorEastAsia"/>
          <w:szCs w:val="21"/>
        </w:rPr>
      </w:pPr>
    </w:p>
    <w:p>
      <w:pPr>
        <w:pStyle w:val="4"/>
        <w:spacing w:before="0" w:after="0"/>
      </w:pPr>
      <w:bookmarkStart w:id="100" w:name="_Toc135293195"/>
      <w:bookmarkStart w:id="101" w:name="_Toc73613645"/>
      <w:bookmarkStart w:id="102" w:name="_Toc73610163"/>
      <w:r>
        <w:rPr>
          <w:rFonts w:hint="eastAsia"/>
        </w:rPr>
        <w:t>二、关于印发中小企业划型标准规定的通知</w:t>
      </w:r>
      <w:bookmarkEnd w:id="100"/>
      <w:bookmarkEnd w:id="101"/>
      <w:bookmarkEnd w:id="102"/>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工信部联企业〔2011〕300号</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各省、自治区、直辖市人民政府，国务院各部委、各直属机构及有关单位：</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widowControl/>
        <w:shd w:val="clear" w:color="auto" w:fill="FFFFFF"/>
        <w:spacing w:before="100" w:beforeAutospacing="1" w:after="100" w:afterAutospacing="1" w:line="360" w:lineRule="auto"/>
        <w:jc w:val="righ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工业和信息化部　国家统计局</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国家发展和改革委员会　财政部</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二○一一年六月十八日</w:t>
      </w:r>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b/>
          <w:bCs/>
          <w:color w:val="000000"/>
          <w:kern w:val="0"/>
        </w:rPr>
        <w:t>中小企业划型标准规定</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一、根据《中华人民共和国中小企业促进法》和《国务院关于进一步促进中小企业发展的若干意见》(国发〔2009〕36号)，制定本规定。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二、中小企业划分为中型、小型、微型三种类型，具体标准根据企业从业人员、营业收入、资产总额等指标，结合行业特点制定。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四、各行业划型标准为：</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（一）农、林、牧、渔业。营业收入20000万元以下的为中小微型企业。其中，营业收入500万元及以上的为中型企业，营业收入50万元及以上的为小型企业，营业收入50万元以下的为微型企业。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（十六）其他未列明行业。从业人员300人以下的为中小微型企业。其中，从业人员100人及以上的为中型企业；从业人员10人及以上的为小型企业；从业人员10人以下的为微型企业。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五、企业类型的划分以统计部门的统计数据为依据。</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六、本规定适用于在中华人民共和国境内依法设立的各类所有制和各种组织形式的企业。个体工商户和本规定以外的行业，参照本规定进行划型。</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七、本规定的中型企业标准上限即为大型企业标准的下限，国家统计部门据此制定大中小微型企业的统计分类。国务院有关部门据此进行相关数据分析，不得制定与本规定不一致的企业划型标准。</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八、本规定由工业和信息化部、国家统计局会同有关部门根据《国民经济行业分类》修订情况和企业发展变化情况适时修订。</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九、本规定由工业和信息化部、国家统计局会同有关部门负责解释。</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十、本规定自发布之日起执行，原国家经贸委、原国家计委、财政部和国家统计局2003年颁布的《中小企业标准暂行规定》同时废止。</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p>
    <w:p>
      <w:pPr>
        <w:pStyle w:val="4"/>
        <w:spacing w:before="0" w:after="0"/>
      </w:pPr>
      <w:bookmarkStart w:id="103" w:name="_Toc73610164"/>
      <w:bookmarkStart w:id="104" w:name="_Toc73613646"/>
      <w:bookmarkStart w:id="105" w:name="_Toc135293196"/>
      <w:r>
        <w:rPr>
          <w:rFonts w:hint="eastAsia"/>
        </w:rPr>
        <w:t>三、</w:t>
      </w:r>
      <w:r>
        <w:t>国家统计局关于印发《统计上大中小微型企业划分办法 （2017）》的通知</w:t>
      </w:r>
      <w:bookmarkEnd w:id="103"/>
      <w:bookmarkEnd w:id="104"/>
      <w:bookmarkEnd w:id="105"/>
      <w:r>
        <w:t> </w:t>
      </w:r>
    </w:p>
    <w:p>
      <w:pPr>
        <w:widowControl/>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国统字〔2017〕213号</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各省、自治区、直辖市统计局，新疆生产建设兵团统计局，国务院各有关部门，国家统计局各调查总队：</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附件：《统计上大中小微型企业划分办法（2017）》修订说明</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国家统计局</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2017年12月28日</w:t>
      </w:r>
    </w:p>
    <w:p>
      <w:pPr>
        <w:widowControl/>
        <w:spacing w:line="360" w:lineRule="auto"/>
        <w:jc w:val="center"/>
        <w:rPr>
          <w:rFonts w:cs="宋体" w:asciiTheme="minorEastAsia" w:hAnsiTheme="minorEastAsia" w:eastAsiaTheme="minorEastAsia"/>
          <w:b/>
          <w:bCs/>
          <w:kern w:val="0"/>
          <w:szCs w:val="21"/>
        </w:rPr>
      </w:pP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w:t>
      </w:r>
    </w:p>
    <w:p>
      <w:pPr>
        <w:widowControl/>
        <w:spacing w:line="360" w:lineRule="auto"/>
        <w:jc w:val="left"/>
        <w:rPr>
          <w:rFonts w:cs="宋体" w:asciiTheme="minorEastAsia" w:hAnsiTheme="minorEastAsia" w:eastAsiaTheme="minorEastAsia"/>
          <w:kern w:val="0"/>
          <w:szCs w:val="21"/>
        </w:rPr>
      </w:pP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二、本办法适用对象为在中华人民共和国境内依法设立的各种组织形式的法人企业或单位。个体工商户参照本办法进行划分。</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四、本办法按照行业门类、大类、中类和组合类别，依据从业人员、营业收入、资产总额等指标或替代指标，将我国的企业划分为大型、中型、小型、微型等四种类型。具体划分标准见附表。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五、企业划分由政府综合统计部门根据统计年报每年确定一次，定报统计原则上不进行调整。</w:t>
      </w: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六、本办法自印发之日起执行，国家统计局2011年印发的《统计上大中小微型企业划分办法》（国统字〔2011〕75号）同时废止。</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《统计上大中小微型企业划分办法（2017）》修订说明</w:t>
      </w:r>
    </w:p>
    <w:p>
      <w:pPr>
        <w:widowControl/>
        <w:spacing w:line="360" w:lineRule="auto"/>
        <w:jc w:val="left"/>
        <w:rPr>
          <w:rFonts w:cs="宋体" w:asciiTheme="minorEastAsia" w:hAnsiTheme="minorEastAsia" w:eastAsiaTheme="minorEastAsia"/>
          <w:kern w:val="0"/>
          <w:szCs w:val="21"/>
        </w:rPr>
      </w:pP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一、修订背景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二、修订主要内容</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将交通运输业中包括的“装卸搬运和运输代理业”修改为“多式联运和运输代理业、装卸搬运”。</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仓储业所包括的行业中类，根据《国民经济行业分类》（GB/T 4754—2017）调整为“通用仓储，低温仓储，危险品仓储，谷物、棉花等农产品仓储，中药材仓储和其他仓储业”。</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附表</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统计上大中小微型企业划分标准</w:t>
      </w:r>
    </w:p>
    <w:tbl>
      <w:tblPr>
        <w:tblStyle w:val="50"/>
        <w:tblW w:w="0" w:type="auto"/>
        <w:jc w:val="center"/>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CellMar>
            <w:top w:w="0" w:type="dxa"/>
            <w:left w:w="108" w:type="dxa"/>
            <w:bottom w:w="0" w:type="dxa"/>
            <w:right w:w="108" w:type="dxa"/>
          </w:tblCellMar>
        </w:tblPrEx>
        <w:trPr>
          <w:trHeight w:val="622" w:hRule="exact"/>
          <w:jc w:val="center"/>
        </w:trPr>
        <w:tc>
          <w:tcPr>
            <w:tcW w:w="211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21"/>
              </w:rPr>
            </w:pPr>
            <w:r>
              <w:rPr>
                <w:rFonts w:hint="eastAsia" w:ascii="宋体" w:hAnsi="宋体" w:cs="宋体"/>
                <w:b/>
                <w:bCs/>
                <w:color w:val="000000"/>
                <w:kern w:val="0"/>
                <w:sz w:val="18"/>
                <w:szCs w:val="21"/>
              </w:rPr>
              <w:t>行业名称</w:t>
            </w:r>
          </w:p>
        </w:tc>
        <w:tc>
          <w:tcPr>
            <w:tcW w:w="13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指标名称</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计量</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单位</w:t>
            </w:r>
          </w:p>
        </w:tc>
        <w:tc>
          <w:tcPr>
            <w:tcW w:w="11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大型</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中型</w:t>
            </w:r>
          </w:p>
        </w:tc>
        <w:tc>
          <w:tcPr>
            <w:tcW w:w="1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小型</w:t>
            </w:r>
          </w:p>
        </w:tc>
        <w:tc>
          <w:tcPr>
            <w:tcW w:w="992"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微型</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农、林、牧、渔业</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50≤Y＜500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工业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2000≤Y＜40000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建筑业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Y≥80000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6000≤Y＜80000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300≤Y＜6000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Z≥80000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5000≤Z＜80000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300≤Z＜5000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批发业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5≤X＜20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X＜5</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5000≤Y＜40000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1000≤Y＜5000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零售业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50≤X＜300</w:t>
            </w:r>
          </w:p>
        </w:tc>
        <w:tc>
          <w:tcPr>
            <w:tcW w:w="1426" w:type="dxa"/>
            <w:tcBorders>
              <w:top w:val="nil"/>
              <w:left w:val="nil"/>
              <w:bottom w:val="nil"/>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10≤X＜50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100≤Y＜500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交通运输业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200≤Y＜3000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仓储业*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100≤X＜200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邮政业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住宿业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餐饮业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信息传输业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100≤X＜2000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1000≤Y＜100000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spacing w:val="-12"/>
                <w:kern w:val="0"/>
                <w:sz w:val="18"/>
                <w:szCs w:val="18"/>
              </w:rPr>
            </w:pPr>
            <w:r>
              <w:rPr>
                <w:rFonts w:hint="eastAsia" w:ascii="宋体" w:hAnsi="宋体" w:cs="宋体"/>
                <w:color w:val="000000"/>
                <w:spacing w:val="-12"/>
                <w:kern w:val="0"/>
                <w:sz w:val="18"/>
                <w:szCs w:val="18"/>
              </w:rPr>
              <w:t>软件和信息技术服</w:t>
            </w:r>
            <w:r>
              <w:rPr>
                <w:rFonts w:hint="eastAsia" w:ascii="宋体" w:hAnsi="宋体" w:cs="宋体"/>
                <w:color w:val="000000"/>
                <w:kern w:val="0"/>
                <w:sz w:val="18"/>
                <w:szCs w:val="18"/>
              </w:rPr>
              <w:t>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spacing w:val="-12"/>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房地产开发经营</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1000≤Y＜200000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2000≤Z＜5000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Z＜2000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物业管理</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1000≤Y＜5000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租赁和商务服务业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8000≤Z＜120000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100≤Z＜8000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其他未列明行业 *</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bl>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说明：</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1.大型、中型和小型企业须同时满足所列指标的下限，否则下划一档；微型企业只须满足所列指标中的一项即可。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spacing w:line="360" w:lineRule="auto"/>
        <w:rPr>
          <w:rFonts w:asciiTheme="minorEastAsia" w:hAnsiTheme="minorEastAsia" w:eastAsiaTheme="minorEastAsia"/>
          <w:szCs w:val="21"/>
        </w:rPr>
      </w:pPr>
    </w:p>
    <w:p>
      <w:pPr>
        <w:pStyle w:val="4"/>
        <w:spacing w:before="0" w:after="0"/>
      </w:pPr>
      <w:bookmarkStart w:id="106" w:name="_Toc135293197"/>
      <w:bookmarkStart w:id="107" w:name="_Toc73613647"/>
      <w:bookmarkStart w:id="108" w:name="_Toc73610165"/>
      <w:r>
        <w:rPr>
          <w:rFonts w:hint="eastAsia"/>
        </w:rPr>
        <w:t>四、</w:t>
      </w:r>
      <w:r>
        <w:t>财政部 民政部 中国残疾人联合会关于促进残疾人就业 政府采购政策的通知</w:t>
      </w:r>
      <w:bookmarkEnd w:id="106"/>
      <w:bookmarkEnd w:id="107"/>
      <w:bookmarkEnd w:id="108"/>
      <w:r>
        <w:t xml:space="preserve"> </w:t>
      </w:r>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财库〔2017〕141号</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为了发挥政府采购促进残疾人就业的作用，进一步保障残疾人权益，依照《政府采购法》、《残疾人保障法》等法律法规及相关规定，现就促进残疾人就业政府采购政策通知如下：</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一、享受政府采购支持政策的残疾人福利性单位应当同时满足以下条件：</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（一）安置的残疾人占本单位在职职工人数的比例不低于25%（含25%），并且安置的残疾人人数不少于10人（含10人）；</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（二）依法与安置的每位残疾人签订了一年以上（含一年）的劳动合同或服务协议；</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（三）为安置的每位残疾人按月足额缴纳了基本养老保险、基本医疗保险、失业保险、工伤保险和生育保险等社会保险费；</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（四）通过银行等金融机构向安置的每位残疾人，按月支付了不低于单位所在区县适用的经省级人民政府批准的月最低工资标准的工资；</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（五）提供本单位制造的货物、承担的工程或者服务（以下简称产品），或者提供其他残疾人福利性单位制造的货物（不包括使用非残疾人福利性单位注册商标的货物）。</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中标、成交供应商为残疾人福利性单位的，采购人或者其委托的采购代理机构应当随中标、成交结果同时公告其《残疾人福利性单位声明函》，接受社会监督。</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供应商提供的《残疾人福利性单位声明函》与事实不符的，依照《政府采购法》第七十七条第一款的规定追究法律责任。</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四、采购人采购公开招标数额标准以上的货物或者服务，因落实促进残疾人就业政策的需要，依法履行有关报批程序后，可采用公开招标以外的采购方式。</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七、本通知自2017年10月1日起执行。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　　</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财政部 民政部 中国残疾人联合会</w:t>
      </w:r>
    </w:p>
    <w:p>
      <w:pPr>
        <w:widowControl/>
        <w:spacing w:line="360" w:lineRule="auto"/>
        <w:jc w:val="right"/>
        <w:rPr>
          <w:rFonts w:cs="宋体" w:asciiTheme="minorEastAsia" w:hAnsiTheme="minorEastAsia" w:eastAsiaTheme="minorEastAsia"/>
          <w:kern w:val="0"/>
          <w:szCs w:val="21"/>
        </w:rPr>
      </w:pP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2017年8月22日</w:t>
      </w:r>
    </w:p>
    <w:p>
      <w:pPr>
        <w:tabs>
          <w:tab w:val="left" w:pos="1875"/>
        </w:tabs>
        <w:rPr>
          <w:rFonts w:ascii="Calibri" w:hAnsi="Calibri"/>
          <w:szCs w:val="22"/>
        </w:rPr>
      </w:pPr>
    </w:p>
    <w:p>
      <w:pPr>
        <w:rPr>
          <w:rFonts w:ascii="Calibri" w:hAnsi="Calibri"/>
          <w:szCs w:val="22"/>
        </w:rPr>
      </w:pPr>
    </w:p>
    <w:p>
      <w:pPr>
        <w:pStyle w:val="4"/>
        <w:spacing w:before="0" w:after="0"/>
      </w:pPr>
      <w:bookmarkStart w:id="109" w:name="_Toc135293198"/>
      <w:r>
        <w:rPr>
          <w:rFonts w:hint="eastAsia"/>
        </w:rPr>
        <w:t>五、财政部 司法部关于政府采购支持监狱企业发展有关问题的通知</w:t>
      </w:r>
      <w:bookmarkEnd w:id="109"/>
      <w:r>
        <w:t xml:space="preserve"> </w:t>
      </w:r>
    </w:p>
    <w:p>
      <w:pPr>
        <w:widowControl/>
        <w:spacing w:line="360" w:lineRule="auto"/>
        <w:jc w:val="center"/>
        <w:rPr>
          <w:rFonts w:cs="宋体" w:asciiTheme="minorEastAsia" w:hAnsiTheme="minorEastAsia" w:eastAsiaTheme="minorEastAsia"/>
          <w:kern w:val="0"/>
          <w:szCs w:val="21"/>
        </w:rPr>
      </w:pPr>
    </w:p>
    <w:p>
      <w:pPr>
        <w:widowControl/>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财库〔2014〕68号</w:t>
      </w:r>
    </w:p>
    <w:p>
      <w:pPr>
        <w:widowControl/>
        <w:spacing w:line="360" w:lineRule="auto"/>
        <w:jc w:val="left"/>
        <w:rPr>
          <w:rFonts w:cs="宋体" w:asciiTheme="minorEastAsia" w:hAnsiTheme="minorEastAsia" w:eastAsiaTheme="minorEastAsia"/>
          <w:kern w:val="0"/>
          <w:szCs w:val="21"/>
        </w:rPr>
      </w:pP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有关人民团体，中央国家机关政府采购中心，中共中央直属机关采购中心，全国人大机关采购中心，各省、自治区、直辖市、计划单列市财政厅（局）、司法厅（局），新疆生产建设兵团财务局、司法局、监狱管理局：</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政府采购支持监狱和戒毒企业（以下简称监狱企业）发展对稳定监狱企业生产，提高财政资金使用效益，为罪犯和戒毒人员提供长期可靠的劳动岗位，提高罪犯和戒毒人员的教育改造质量，减少重新违法犯罪，确保监狱、戒毒场所安全稳定，促进社会和谐稳定具有十分重要的意义。为进一步贯彻落实国务院《关于解决监狱企业困难的实施方案的通知》（国发</w:t>
      </w:r>
      <w:r>
        <w:rPr>
          <w:rFonts w:cs="宋体" w:asciiTheme="minorEastAsia" w:hAnsiTheme="minorEastAsia" w:eastAsiaTheme="minorEastAsia"/>
          <w:kern w:val="0"/>
          <w:szCs w:val="21"/>
        </w:rPr>
        <w:t>[2003]7</w:t>
      </w:r>
      <w:r>
        <w:rPr>
          <w:rFonts w:hint="eastAsia" w:cs="宋体" w:asciiTheme="minorEastAsia" w:hAnsiTheme="minorEastAsia" w:eastAsiaTheme="minorEastAsia"/>
          <w:kern w:val="0"/>
          <w:szCs w:val="21"/>
        </w:rPr>
        <w:t>号）文件精神，发挥政府采购支持监狱企业发展的作用，现就有关事项通知如下：</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二、在政府采购活动中，监狱企业视同小型、微型企业，享受预留份额、评审中价格扣除等政府采购促进中小企业发展的政府采购政策。向监狱企业采购的金额，计入面向中小企业采购的统计数据。</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三、各地区、各部门要积极通过预留采购份额支持监狱企业。有制服采购项目的部门，应加强对政府采购预算和计划编制工作的统筹，预留本部门制服采购项目预算总额的</w:t>
      </w:r>
      <w:r>
        <w:rPr>
          <w:rFonts w:cs="宋体" w:asciiTheme="minorEastAsia" w:hAnsiTheme="minorEastAsia" w:eastAsiaTheme="minorEastAsia"/>
          <w:kern w:val="0"/>
          <w:szCs w:val="21"/>
        </w:rPr>
        <w:t>30%</w:t>
      </w:r>
      <w:r>
        <w:rPr>
          <w:rFonts w:hint="eastAsia" w:cs="宋体" w:asciiTheme="minorEastAsia" w:hAnsiTheme="minorEastAsia" w:eastAsiaTheme="minorEastAsia"/>
          <w:kern w:val="0"/>
          <w:szCs w:val="21"/>
        </w:rPr>
        <w:t>以上，专门面向监狱企业采购。省级以上政府部门组织的公务员考试、招生考试、等级考试、资格考试的试卷印刷项目原则上应当在符合有关资质的监狱企业范围内采购。各地在免费教科书政府采购工作中，应当根据符合教科书印制资质的监狱企业情况，提出由监狱企业印刷的比例要求。</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四、各地区可以结合本地区实际，对监狱企业生产的办公用品、家具用具、车辆维修和提供的保养服务、消防设备等，提出预留份额等政府采购支持措施，加大对监狱企业产品的采购力度。</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五、各地区、各部门要高度重视，加强组织管理和监督，做好政府采购支持监狱企业发展的相关工作。有关部门要加强监管，确保面向监狱企业采购的工作依法依规进行。各监狱企业要不断提高监狱企业产品的质量和服务水平，为做好监狱企业产品政府采购工作提供有力保障。</w:t>
      </w:r>
    </w:p>
    <w:p>
      <w:pPr>
        <w:widowControl/>
        <w:spacing w:line="360" w:lineRule="auto"/>
        <w:jc w:val="left"/>
        <w:rPr>
          <w:rFonts w:cs="宋体" w:asciiTheme="minorEastAsia" w:hAnsiTheme="minorEastAsia" w:eastAsiaTheme="minorEastAsia"/>
          <w:kern w:val="0"/>
          <w:szCs w:val="21"/>
        </w:rPr>
      </w:pP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中华人民共和国财政部</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中华人民共和国司法部</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2014年6月10日</w:t>
      </w:r>
    </w:p>
    <w:p/>
    <w:sectPr>
      <w:headerReference r:id="rId3" w:type="default"/>
      <w:footerReference r:id="rId4" w:type="default"/>
      <w:pgSz w:w="11906" w:h="16838"/>
      <w:pgMar w:top="1134" w:right="1134" w:bottom="1134" w:left="113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H Yb 2gj">
    <w:altName w:val="黑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仿宋_GB2313">
    <w:altName w:val="仿宋"/>
    <w:panose1 w:val="00000000000000000000"/>
    <w:charset w:val="86"/>
    <w:family w:val="roman"/>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ˎ̥">
    <w:altName w:val="微软雅黑"/>
    <w:panose1 w:val="00000000000000000000"/>
    <w:charset w:val="00"/>
    <w:family w:val="auto"/>
    <w:pitch w:val="default"/>
    <w:sig w:usb0="00000000" w:usb1="00000000" w:usb2="00000000"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经典标宋简">
    <w:altName w:val="宋体"/>
    <w:panose1 w:val="00000000000000000000"/>
    <w:charset w:val="86"/>
    <w:family w:val="auto"/>
    <w:pitch w:val="default"/>
    <w:sig w:usb0="00000000" w:usb1="00000000" w:usb2="0000001E" w:usb3="00000000" w:csb0="00040000" w:csb1="00000000"/>
  </w:font>
  <w:font w:name="经典等线简">
    <w:altName w:val="宋体"/>
    <w:panose1 w:val="00000000000000000000"/>
    <w:charset w:val="86"/>
    <w:family w:val="auto"/>
    <w:pitch w:val="default"/>
    <w:sig w:usb0="00000000" w:usb1="00000000" w:usb2="0000001E" w:usb3="00000000" w:csb0="00040000" w:csb1="00000000"/>
  </w:font>
  <w:font w:name="MS Mincho">
    <w:altName w:val="Yu Gothic UI"/>
    <w:panose1 w:val="02020609040205080304"/>
    <w:charset w:val="80"/>
    <w:family w:val="modern"/>
    <w:pitch w:val="default"/>
    <w:sig w:usb0="00000000" w:usb1="00000000" w:usb2="08000012" w:usb3="00000000" w:csb0="0002009F" w:csb1="00000000"/>
  </w:font>
  <w:font w:name="Segoe UI Symbol">
    <w:panose1 w:val="020B0502040204020203"/>
    <w:charset w:val="00"/>
    <w:family w:val="swiss"/>
    <w:pitch w:val="default"/>
    <w:sig w:usb0="800001E3" w:usb1="1200FFEF" w:usb2="00040000" w:usb3="04000000" w:csb0="00000001" w:csb1="40000000"/>
  </w:font>
  <w:font w:name="Yu Gothic UI">
    <w:panose1 w:val="020B0500000000000000"/>
    <w:charset w:val="80"/>
    <w:family w:val="auto"/>
    <w:pitch w:val="default"/>
    <w:sig w:usb0="E00002FF" w:usb1="2AC7FDFF" w:usb2="00000016" w:usb3="00000000" w:csb0="200200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4"/>
      </w:rPr>
    </w:pPr>
    <w:r>
      <w:rPr>
        <w:rStyle w:val="54"/>
      </w:rPr>
      <w:fldChar w:fldCharType="begin"/>
    </w:r>
    <w:r>
      <w:rPr>
        <w:rStyle w:val="54"/>
      </w:rPr>
      <w:instrText xml:space="preserve">PAGE  </w:instrText>
    </w:r>
    <w:r>
      <w:rPr>
        <w:rStyle w:val="54"/>
      </w:rPr>
      <w:fldChar w:fldCharType="separate"/>
    </w:r>
    <w:r>
      <w:rPr>
        <w:rStyle w:val="54"/>
      </w:rPr>
      <w:t>17</w:t>
    </w:r>
    <w:r>
      <w:rPr>
        <w:rStyle w:val="54"/>
      </w:rPr>
      <w:fldChar w:fldCharType="end"/>
    </w:r>
  </w:p>
  <w:p>
    <w:pPr>
      <w:pStyle w:val="31"/>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tabs>
        <w:tab w:val="center" w:pos="4819"/>
        <w:tab w:val="right" w:pos="9638"/>
      </w:tabs>
      <w:jc w:val="left"/>
    </w:pPr>
    <w:r>
      <w:rPr>
        <w:rFonts w:hint="eastAsia"/>
      </w:rPr>
      <w:t>项目名称：</w:t>
    </w:r>
    <w:r>
      <w:rPr>
        <w:rFonts w:hint="eastAsia" w:asciiTheme="minorEastAsia" w:hAnsiTheme="minorEastAsia" w:eastAsiaTheme="minorEastAsia"/>
        <w:lang w:eastAsia="zh-CN"/>
      </w:rPr>
      <w:t>狂犬病免疫效价监测委托业务</w:t>
    </w:r>
    <w:r>
      <w:rPr>
        <w:rFonts w:hint="eastAsia" w:asciiTheme="minorEastAsia" w:hAnsiTheme="minorEastAsia" w:eastAsiaTheme="minorEastAsia"/>
      </w:rPr>
      <w:t xml:space="preserve">       </w:t>
    </w:r>
    <w:r>
      <w:rPr>
        <w:rFonts w:hint="eastAsia"/>
      </w:rPr>
      <w:t xml:space="preserve">                                       项目编号：</w:t>
    </w:r>
    <w:r>
      <w:rPr>
        <w:rFonts w:hint="eastAsia" w:asciiTheme="minorEastAsia" w:hAnsiTheme="minorEastAsia" w:eastAsiaTheme="minorEastAsia"/>
        <w:lang w:eastAsia="zh-CN"/>
      </w:rPr>
      <w:t>SZZZ2024-QC0166</w:t>
    </w:r>
    <w:r>
      <w:tab/>
    </w:r>
  </w:p>
  <w:p>
    <w:pPr>
      <w:pStyle w:val="32"/>
      <w:tabs>
        <w:tab w:val="center" w:pos="4819"/>
        <w:tab w:val="right" w:pos="9638"/>
      </w:tabs>
      <w:jc w:val="left"/>
      <w:rPr>
        <w:u w:val="single"/>
      </w:rPr>
    </w:pPr>
    <w:r>
      <w:rPr>
        <w:rFonts w:hint="eastAsia"/>
        <w:u w:val="single"/>
      </w:rPr>
      <w:t xml:space="preserve">                                                                                                           </w:t>
    </w:r>
    <w:r>
      <w:rPr>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decimal"/>
      <w:pStyle w:val="16"/>
      <w:lvlText w:val="%1、"/>
      <w:lvlJc w:val="left"/>
      <w:pPr>
        <w:tabs>
          <w:tab w:val="left" w:pos="371"/>
        </w:tabs>
        <w:ind w:left="371" w:hanging="360"/>
      </w:pPr>
      <w:rPr>
        <w:rFonts w:hint="default"/>
      </w:rPr>
    </w:lvl>
    <w:lvl w:ilvl="1" w:tentative="0">
      <w:start w:val="1"/>
      <w:numFmt w:val="lowerLetter"/>
      <w:lvlText w:val="%2)"/>
      <w:lvlJc w:val="left"/>
      <w:pPr>
        <w:tabs>
          <w:tab w:val="left" w:pos="851"/>
        </w:tabs>
        <w:ind w:left="851" w:hanging="420"/>
      </w:pPr>
    </w:lvl>
    <w:lvl w:ilvl="2" w:tentative="0">
      <w:start w:val="1"/>
      <w:numFmt w:val="lowerRoman"/>
      <w:lvlText w:val="%3."/>
      <w:lvlJc w:val="right"/>
      <w:pPr>
        <w:tabs>
          <w:tab w:val="left" w:pos="1271"/>
        </w:tabs>
        <w:ind w:left="1271" w:hanging="420"/>
      </w:pPr>
    </w:lvl>
    <w:lvl w:ilvl="3" w:tentative="0">
      <w:start w:val="1"/>
      <w:numFmt w:val="decimal"/>
      <w:lvlText w:val="%4."/>
      <w:lvlJc w:val="left"/>
      <w:pPr>
        <w:tabs>
          <w:tab w:val="left" w:pos="1691"/>
        </w:tabs>
        <w:ind w:left="1691" w:hanging="420"/>
      </w:pPr>
    </w:lvl>
    <w:lvl w:ilvl="4" w:tentative="0">
      <w:start w:val="1"/>
      <w:numFmt w:val="lowerLetter"/>
      <w:pStyle w:val="6"/>
      <w:lvlText w:val="%5)"/>
      <w:lvlJc w:val="left"/>
      <w:pPr>
        <w:tabs>
          <w:tab w:val="left" w:pos="2111"/>
        </w:tabs>
        <w:ind w:left="2111" w:hanging="420"/>
      </w:pPr>
    </w:lvl>
    <w:lvl w:ilvl="5" w:tentative="0">
      <w:start w:val="1"/>
      <w:numFmt w:val="lowerRoman"/>
      <w:pStyle w:val="8"/>
      <w:lvlText w:val="%6."/>
      <w:lvlJc w:val="right"/>
      <w:pPr>
        <w:tabs>
          <w:tab w:val="left" w:pos="2531"/>
        </w:tabs>
        <w:ind w:left="2531" w:hanging="420"/>
      </w:pPr>
    </w:lvl>
    <w:lvl w:ilvl="6" w:tentative="0">
      <w:start w:val="1"/>
      <w:numFmt w:val="decimal"/>
      <w:pStyle w:val="9"/>
      <w:lvlText w:val="%7."/>
      <w:lvlJc w:val="left"/>
      <w:pPr>
        <w:tabs>
          <w:tab w:val="left" w:pos="2951"/>
        </w:tabs>
        <w:ind w:left="2951" w:hanging="420"/>
      </w:pPr>
    </w:lvl>
    <w:lvl w:ilvl="7" w:tentative="0">
      <w:start w:val="1"/>
      <w:numFmt w:val="lowerLetter"/>
      <w:pStyle w:val="10"/>
      <w:lvlText w:val="%8)"/>
      <w:lvlJc w:val="left"/>
      <w:pPr>
        <w:tabs>
          <w:tab w:val="left" w:pos="3371"/>
        </w:tabs>
        <w:ind w:left="3371" w:hanging="420"/>
      </w:pPr>
    </w:lvl>
    <w:lvl w:ilvl="8" w:tentative="0">
      <w:start w:val="1"/>
      <w:numFmt w:val="lowerRoman"/>
      <w:pStyle w:val="11"/>
      <w:lvlText w:val="%9."/>
      <w:lvlJc w:val="right"/>
      <w:pPr>
        <w:tabs>
          <w:tab w:val="left" w:pos="3791"/>
        </w:tabs>
        <w:ind w:left="3791" w:hanging="420"/>
      </w:pPr>
    </w:lvl>
  </w:abstractNum>
  <w:abstractNum w:abstractNumId="1">
    <w:nsid w:val="0000002E"/>
    <w:multiLevelType w:val="multilevel"/>
    <w:tmpl w:val="0000002E"/>
    <w:lvl w:ilvl="0" w:tentative="0">
      <w:start w:val="1"/>
      <w:numFmt w:val="decimal"/>
      <w:pStyle w:val="397"/>
      <w:lvlText w:val="第%1章"/>
      <w:lvlJc w:val="left"/>
      <w:pPr>
        <w:tabs>
          <w:tab w:val="left" w:pos="425"/>
        </w:tabs>
        <w:ind w:left="425" w:hanging="425"/>
      </w:pPr>
      <w:rPr>
        <w:rFonts w:hint="eastAsia"/>
        <w:lang w:val="en-US"/>
      </w:rPr>
    </w:lvl>
    <w:lvl w:ilvl="1" w:tentative="0">
      <w:start w:val="1"/>
      <w:numFmt w:val="decimal"/>
      <w:lvlText w:val="%1.%2  "/>
      <w:lvlJc w:val="left"/>
      <w:pPr>
        <w:tabs>
          <w:tab w:val="left" w:pos="1419"/>
        </w:tabs>
        <w:ind w:left="1419" w:hanging="567"/>
      </w:pPr>
      <w:rPr>
        <w:rFonts w:hint="eastAsia"/>
      </w:rPr>
    </w:lvl>
    <w:lvl w:ilvl="2" w:tentative="0">
      <w:start w:val="1"/>
      <w:numFmt w:val="decimal"/>
      <w:lvlText w:val="%1.%2.%3  "/>
      <w:lvlJc w:val="left"/>
      <w:pPr>
        <w:tabs>
          <w:tab w:val="left" w:pos="709"/>
        </w:tabs>
        <w:ind w:left="709" w:hanging="709"/>
      </w:pPr>
      <w:rPr>
        <w:rFonts w:hint="eastAsia" w:ascii="宋体" w:hAnsi="宋体" w:eastAsia="宋体" w:cs="Arial"/>
        <w:b/>
        <w:sz w:val="21"/>
        <w:szCs w:val="21"/>
      </w:rPr>
    </w:lvl>
    <w:lvl w:ilvl="3" w:tentative="0">
      <w:start w:val="1"/>
      <w:numFmt w:val="decimal"/>
      <w:lvlText w:val="%4、"/>
      <w:lvlJc w:val="left"/>
      <w:pPr>
        <w:tabs>
          <w:tab w:val="left" w:pos="851"/>
        </w:tabs>
        <w:ind w:left="851" w:hanging="851"/>
      </w:pPr>
      <w:rPr>
        <w:rFonts w:hint="default" w:cs="Arial"/>
        <w:sz w:val="21"/>
        <w:szCs w:val="21"/>
      </w:rPr>
    </w:lvl>
    <w:lvl w:ilvl="4" w:tentative="0">
      <w:start w:val="1"/>
      <w:numFmt w:val="decimal"/>
      <w:lvlText w:val="%1.%2.%3.%4.%5."/>
      <w:lvlJc w:val="left"/>
      <w:pPr>
        <w:tabs>
          <w:tab w:val="left" w:pos="2072"/>
        </w:tabs>
        <w:ind w:left="207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9F81FD3"/>
    <w:multiLevelType w:val="multilevel"/>
    <w:tmpl w:val="09F81FD3"/>
    <w:lvl w:ilvl="0" w:tentative="0">
      <w:start w:val="1"/>
      <w:numFmt w:val="japaneseCounting"/>
      <w:pStyle w:val="23"/>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F867BC1"/>
    <w:multiLevelType w:val="multilevel"/>
    <w:tmpl w:val="4F867BC1"/>
    <w:lvl w:ilvl="0" w:tentative="0">
      <w:start w:val="1"/>
      <w:numFmt w:val="japaneseCounting"/>
      <w:lvlText w:val="%1、"/>
      <w:lvlJc w:val="left"/>
      <w:pPr>
        <w:ind w:left="418" w:hanging="420"/>
      </w:pPr>
      <w:rPr>
        <w:rFonts w:hint="default"/>
      </w:rPr>
    </w:lvl>
    <w:lvl w:ilvl="1" w:tentative="0">
      <w:start w:val="1"/>
      <w:numFmt w:val="lowerLetter"/>
      <w:lvlText w:val="%2)"/>
      <w:lvlJc w:val="left"/>
      <w:pPr>
        <w:ind w:left="838" w:hanging="420"/>
      </w:pPr>
    </w:lvl>
    <w:lvl w:ilvl="2" w:tentative="0">
      <w:start w:val="1"/>
      <w:numFmt w:val="lowerRoman"/>
      <w:lvlText w:val="%3."/>
      <w:lvlJc w:val="right"/>
      <w:pPr>
        <w:ind w:left="1258" w:hanging="420"/>
      </w:pPr>
    </w:lvl>
    <w:lvl w:ilvl="3" w:tentative="0">
      <w:start w:val="1"/>
      <w:numFmt w:val="decimal"/>
      <w:lvlText w:val="%4."/>
      <w:lvlJc w:val="left"/>
      <w:pPr>
        <w:ind w:left="1678" w:hanging="420"/>
      </w:pPr>
    </w:lvl>
    <w:lvl w:ilvl="4" w:tentative="0">
      <w:start w:val="1"/>
      <w:numFmt w:val="lowerLetter"/>
      <w:lvlText w:val="%5)"/>
      <w:lvlJc w:val="left"/>
      <w:pPr>
        <w:ind w:left="2098" w:hanging="420"/>
      </w:pPr>
    </w:lvl>
    <w:lvl w:ilvl="5" w:tentative="0">
      <w:start w:val="1"/>
      <w:numFmt w:val="lowerRoman"/>
      <w:lvlText w:val="%6."/>
      <w:lvlJc w:val="right"/>
      <w:pPr>
        <w:ind w:left="2518" w:hanging="420"/>
      </w:pPr>
    </w:lvl>
    <w:lvl w:ilvl="6" w:tentative="0">
      <w:start w:val="1"/>
      <w:numFmt w:val="decimal"/>
      <w:lvlText w:val="%7."/>
      <w:lvlJc w:val="left"/>
      <w:pPr>
        <w:ind w:left="2938" w:hanging="420"/>
      </w:pPr>
    </w:lvl>
    <w:lvl w:ilvl="7" w:tentative="0">
      <w:start w:val="1"/>
      <w:numFmt w:val="lowerLetter"/>
      <w:lvlText w:val="%8)"/>
      <w:lvlJc w:val="left"/>
      <w:pPr>
        <w:ind w:left="3358" w:hanging="420"/>
      </w:pPr>
    </w:lvl>
    <w:lvl w:ilvl="8" w:tentative="0">
      <w:start w:val="1"/>
      <w:numFmt w:val="lowerRoman"/>
      <w:lvlText w:val="%9."/>
      <w:lvlJc w:val="right"/>
      <w:pPr>
        <w:ind w:left="3778"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NiN2JjZGQwODQzNTVmMDg4ZGNmNzRhYmJlZDY2YTUifQ=="/>
    <w:docVar w:name="KSO_WPS_MARK_KEY" w:val="79bf3387-fe5b-4970-822c-50cd05f3103b"/>
  </w:docVars>
  <w:rsids>
    <w:rsidRoot w:val="00172A27"/>
    <w:rsid w:val="0000134D"/>
    <w:rsid w:val="00001626"/>
    <w:rsid w:val="00001F1C"/>
    <w:rsid w:val="000036D6"/>
    <w:rsid w:val="00003A46"/>
    <w:rsid w:val="00003BA8"/>
    <w:rsid w:val="000040F9"/>
    <w:rsid w:val="000042A3"/>
    <w:rsid w:val="000045B3"/>
    <w:rsid w:val="00004906"/>
    <w:rsid w:val="00004AF7"/>
    <w:rsid w:val="00004FC4"/>
    <w:rsid w:val="00005751"/>
    <w:rsid w:val="00005C27"/>
    <w:rsid w:val="000060E5"/>
    <w:rsid w:val="0000670A"/>
    <w:rsid w:val="00006922"/>
    <w:rsid w:val="00006E2A"/>
    <w:rsid w:val="000074B0"/>
    <w:rsid w:val="000079C5"/>
    <w:rsid w:val="00007EA1"/>
    <w:rsid w:val="000103E3"/>
    <w:rsid w:val="00010B8D"/>
    <w:rsid w:val="00010DC3"/>
    <w:rsid w:val="00011A45"/>
    <w:rsid w:val="00011A56"/>
    <w:rsid w:val="00011AAF"/>
    <w:rsid w:val="00012297"/>
    <w:rsid w:val="00012816"/>
    <w:rsid w:val="00012A6E"/>
    <w:rsid w:val="00012BC4"/>
    <w:rsid w:val="00012F7F"/>
    <w:rsid w:val="00012F81"/>
    <w:rsid w:val="00014515"/>
    <w:rsid w:val="000145C2"/>
    <w:rsid w:val="00014625"/>
    <w:rsid w:val="000149C6"/>
    <w:rsid w:val="00014DBB"/>
    <w:rsid w:val="00015940"/>
    <w:rsid w:val="00015AF5"/>
    <w:rsid w:val="00016458"/>
    <w:rsid w:val="000165EF"/>
    <w:rsid w:val="00016FC3"/>
    <w:rsid w:val="0001728F"/>
    <w:rsid w:val="00017340"/>
    <w:rsid w:val="000208F8"/>
    <w:rsid w:val="00021304"/>
    <w:rsid w:val="0002197F"/>
    <w:rsid w:val="00022C27"/>
    <w:rsid w:val="00022F4F"/>
    <w:rsid w:val="00022FA9"/>
    <w:rsid w:val="000237EE"/>
    <w:rsid w:val="00023830"/>
    <w:rsid w:val="000243D2"/>
    <w:rsid w:val="00025058"/>
    <w:rsid w:val="00025B21"/>
    <w:rsid w:val="00025D5B"/>
    <w:rsid w:val="00026249"/>
    <w:rsid w:val="00027415"/>
    <w:rsid w:val="000274F7"/>
    <w:rsid w:val="00027757"/>
    <w:rsid w:val="000307C5"/>
    <w:rsid w:val="00030D77"/>
    <w:rsid w:val="00031732"/>
    <w:rsid w:val="00031887"/>
    <w:rsid w:val="000319D1"/>
    <w:rsid w:val="00034043"/>
    <w:rsid w:val="0003479B"/>
    <w:rsid w:val="00034900"/>
    <w:rsid w:val="0003493D"/>
    <w:rsid w:val="0003524E"/>
    <w:rsid w:val="00035640"/>
    <w:rsid w:val="000356F7"/>
    <w:rsid w:val="00035FE0"/>
    <w:rsid w:val="000367ED"/>
    <w:rsid w:val="0003688B"/>
    <w:rsid w:val="000372E9"/>
    <w:rsid w:val="00037359"/>
    <w:rsid w:val="0003762A"/>
    <w:rsid w:val="0003795A"/>
    <w:rsid w:val="00040DA4"/>
    <w:rsid w:val="00042758"/>
    <w:rsid w:val="00043D2B"/>
    <w:rsid w:val="000440D8"/>
    <w:rsid w:val="000442CB"/>
    <w:rsid w:val="000447F6"/>
    <w:rsid w:val="000456B0"/>
    <w:rsid w:val="00045923"/>
    <w:rsid w:val="00045EB5"/>
    <w:rsid w:val="00046595"/>
    <w:rsid w:val="00046998"/>
    <w:rsid w:val="0004741F"/>
    <w:rsid w:val="00047612"/>
    <w:rsid w:val="00047852"/>
    <w:rsid w:val="00050F73"/>
    <w:rsid w:val="00051378"/>
    <w:rsid w:val="0005271F"/>
    <w:rsid w:val="000529DE"/>
    <w:rsid w:val="00053074"/>
    <w:rsid w:val="00053F8F"/>
    <w:rsid w:val="0005402F"/>
    <w:rsid w:val="000545F7"/>
    <w:rsid w:val="00054837"/>
    <w:rsid w:val="000550A3"/>
    <w:rsid w:val="0005526E"/>
    <w:rsid w:val="000558BB"/>
    <w:rsid w:val="000559C9"/>
    <w:rsid w:val="00055C5F"/>
    <w:rsid w:val="00056061"/>
    <w:rsid w:val="00056374"/>
    <w:rsid w:val="0005650D"/>
    <w:rsid w:val="00056617"/>
    <w:rsid w:val="00057655"/>
    <w:rsid w:val="00057EEA"/>
    <w:rsid w:val="00060526"/>
    <w:rsid w:val="00061C10"/>
    <w:rsid w:val="000621B0"/>
    <w:rsid w:val="00062570"/>
    <w:rsid w:val="0006264D"/>
    <w:rsid w:val="0006301D"/>
    <w:rsid w:val="00063DDC"/>
    <w:rsid w:val="00064787"/>
    <w:rsid w:val="00064A61"/>
    <w:rsid w:val="00064FA4"/>
    <w:rsid w:val="00065240"/>
    <w:rsid w:val="00065967"/>
    <w:rsid w:val="00066813"/>
    <w:rsid w:val="000668F4"/>
    <w:rsid w:val="0006745C"/>
    <w:rsid w:val="00067A89"/>
    <w:rsid w:val="00067D3F"/>
    <w:rsid w:val="00067DC4"/>
    <w:rsid w:val="000700C5"/>
    <w:rsid w:val="00070384"/>
    <w:rsid w:val="00071507"/>
    <w:rsid w:val="0007211D"/>
    <w:rsid w:val="00072BD7"/>
    <w:rsid w:val="000730F3"/>
    <w:rsid w:val="00073786"/>
    <w:rsid w:val="00073A35"/>
    <w:rsid w:val="00073B23"/>
    <w:rsid w:val="00073EE2"/>
    <w:rsid w:val="00074554"/>
    <w:rsid w:val="00074BEF"/>
    <w:rsid w:val="00075AD5"/>
    <w:rsid w:val="00077941"/>
    <w:rsid w:val="00077E93"/>
    <w:rsid w:val="00080168"/>
    <w:rsid w:val="00080188"/>
    <w:rsid w:val="00080A90"/>
    <w:rsid w:val="00081B06"/>
    <w:rsid w:val="000820E6"/>
    <w:rsid w:val="000825F6"/>
    <w:rsid w:val="00082956"/>
    <w:rsid w:val="000829FF"/>
    <w:rsid w:val="00082ABE"/>
    <w:rsid w:val="000838FB"/>
    <w:rsid w:val="00083D3F"/>
    <w:rsid w:val="00083E84"/>
    <w:rsid w:val="00084A1B"/>
    <w:rsid w:val="00085134"/>
    <w:rsid w:val="000851F8"/>
    <w:rsid w:val="00085317"/>
    <w:rsid w:val="00085419"/>
    <w:rsid w:val="000855C1"/>
    <w:rsid w:val="00085908"/>
    <w:rsid w:val="0008596C"/>
    <w:rsid w:val="00085DE9"/>
    <w:rsid w:val="00085FFE"/>
    <w:rsid w:val="000861E5"/>
    <w:rsid w:val="000866A3"/>
    <w:rsid w:val="000867FB"/>
    <w:rsid w:val="00086F62"/>
    <w:rsid w:val="000878FF"/>
    <w:rsid w:val="0008796E"/>
    <w:rsid w:val="00090302"/>
    <w:rsid w:val="0009127F"/>
    <w:rsid w:val="0009133A"/>
    <w:rsid w:val="0009145A"/>
    <w:rsid w:val="00091526"/>
    <w:rsid w:val="0009187B"/>
    <w:rsid w:val="00091CAC"/>
    <w:rsid w:val="00092BD5"/>
    <w:rsid w:val="00095198"/>
    <w:rsid w:val="00095806"/>
    <w:rsid w:val="00095F61"/>
    <w:rsid w:val="000965CC"/>
    <w:rsid w:val="00096CE6"/>
    <w:rsid w:val="0009750D"/>
    <w:rsid w:val="00097B04"/>
    <w:rsid w:val="000A0ABE"/>
    <w:rsid w:val="000A0DC0"/>
    <w:rsid w:val="000A1075"/>
    <w:rsid w:val="000A24AF"/>
    <w:rsid w:val="000A274D"/>
    <w:rsid w:val="000A2C52"/>
    <w:rsid w:val="000A2D79"/>
    <w:rsid w:val="000A3358"/>
    <w:rsid w:val="000A4B0E"/>
    <w:rsid w:val="000A530C"/>
    <w:rsid w:val="000A56F0"/>
    <w:rsid w:val="000A584E"/>
    <w:rsid w:val="000A58B9"/>
    <w:rsid w:val="000A5A8E"/>
    <w:rsid w:val="000A5CD4"/>
    <w:rsid w:val="000A6263"/>
    <w:rsid w:val="000A6F16"/>
    <w:rsid w:val="000A7A6C"/>
    <w:rsid w:val="000A7C5A"/>
    <w:rsid w:val="000B0205"/>
    <w:rsid w:val="000B0214"/>
    <w:rsid w:val="000B0817"/>
    <w:rsid w:val="000B0910"/>
    <w:rsid w:val="000B0BAC"/>
    <w:rsid w:val="000B10D9"/>
    <w:rsid w:val="000B1ED2"/>
    <w:rsid w:val="000B20FC"/>
    <w:rsid w:val="000B22EA"/>
    <w:rsid w:val="000B3202"/>
    <w:rsid w:val="000B493E"/>
    <w:rsid w:val="000B4F60"/>
    <w:rsid w:val="000B5B6D"/>
    <w:rsid w:val="000B5CC8"/>
    <w:rsid w:val="000B5DFC"/>
    <w:rsid w:val="000B5E52"/>
    <w:rsid w:val="000B61BF"/>
    <w:rsid w:val="000B620E"/>
    <w:rsid w:val="000B67E1"/>
    <w:rsid w:val="000B6925"/>
    <w:rsid w:val="000C0E15"/>
    <w:rsid w:val="000C1B95"/>
    <w:rsid w:val="000C299D"/>
    <w:rsid w:val="000C344F"/>
    <w:rsid w:val="000C3573"/>
    <w:rsid w:val="000C3B21"/>
    <w:rsid w:val="000C3E67"/>
    <w:rsid w:val="000C428C"/>
    <w:rsid w:val="000C4328"/>
    <w:rsid w:val="000C43F5"/>
    <w:rsid w:val="000C48DA"/>
    <w:rsid w:val="000C605A"/>
    <w:rsid w:val="000C63AE"/>
    <w:rsid w:val="000C6CBF"/>
    <w:rsid w:val="000C712D"/>
    <w:rsid w:val="000C7685"/>
    <w:rsid w:val="000D0769"/>
    <w:rsid w:val="000D0C86"/>
    <w:rsid w:val="000D0C91"/>
    <w:rsid w:val="000D1EAF"/>
    <w:rsid w:val="000D2C8E"/>
    <w:rsid w:val="000D2CA8"/>
    <w:rsid w:val="000D3909"/>
    <w:rsid w:val="000D39D7"/>
    <w:rsid w:val="000D3DAF"/>
    <w:rsid w:val="000D409C"/>
    <w:rsid w:val="000D48D5"/>
    <w:rsid w:val="000D4AF6"/>
    <w:rsid w:val="000D6088"/>
    <w:rsid w:val="000D6977"/>
    <w:rsid w:val="000D6CFF"/>
    <w:rsid w:val="000D6D74"/>
    <w:rsid w:val="000D6F21"/>
    <w:rsid w:val="000D75EC"/>
    <w:rsid w:val="000D7803"/>
    <w:rsid w:val="000D7D8E"/>
    <w:rsid w:val="000D7DC6"/>
    <w:rsid w:val="000E024C"/>
    <w:rsid w:val="000E08FB"/>
    <w:rsid w:val="000E18B0"/>
    <w:rsid w:val="000E1BD5"/>
    <w:rsid w:val="000E214A"/>
    <w:rsid w:val="000E21D9"/>
    <w:rsid w:val="000E2823"/>
    <w:rsid w:val="000E2BF0"/>
    <w:rsid w:val="000E3219"/>
    <w:rsid w:val="000E321B"/>
    <w:rsid w:val="000E3D76"/>
    <w:rsid w:val="000E4186"/>
    <w:rsid w:val="000E52FA"/>
    <w:rsid w:val="000E6437"/>
    <w:rsid w:val="000E64F6"/>
    <w:rsid w:val="000E6981"/>
    <w:rsid w:val="000E6C3B"/>
    <w:rsid w:val="000F06E7"/>
    <w:rsid w:val="000F0B03"/>
    <w:rsid w:val="000F0BDA"/>
    <w:rsid w:val="000F0D6F"/>
    <w:rsid w:val="000F150F"/>
    <w:rsid w:val="000F1E27"/>
    <w:rsid w:val="000F1EDD"/>
    <w:rsid w:val="000F243B"/>
    <w:rsid w:val="000F2773"/>
    <w:rsid w:val="000F3580"/>
    <w:rsid w:val="000F3B7A"/>
    <w:rsid w:val="000F3F04"/>
    <w:rsid w:val="000F420E"/>
    <w:rsid w:val="000F454C"/>
    <w:rsid w:val="000F4C69"/>
    <w:rsid w:val="000F4EE2"/>
    <w:rsid w:val="000F527A"/>
    <w:rsid w:val="000F5C16"/>
    <w:rsid w:val="000F6308"/>
    <w:rsid w:val="000F6C6E"/>
    <w:rsid w:val="000F7241"/>
    <w:rsid w:val="000F7836"/>
    <w:rsid w:val="000F7F62"/>
    <w:rsid w:val="001001FD"/>
    <w:rsid w:val="001018E6"/>
    <w:rsid w:val="00101DFC"/>
    <w:rsid w:val="00102684"/>
    <w:rsid w:val="00102A12"/>
    <w:rsid w:val="00102CC6"/>
    <w:rsid w:val="00102F0D"/>
    <w:rsid w:val="00104130"/>
    <w:rsid w:val="001048BE"/>
    <w:rsid w:val="0010529C"/>
    <w:rsid w:val="001072EB"/>
    <w:rsid w:val="001075C1"/>
    <w:rsid w:val="00107924"/>
    <w:rsid w:val="001079CD"/>
    <w:rsid w:val="0011014B"/>
    <w:rsid w:val="00110426"/>
    <w:rsid w:val="00111274"/>
    <w:rsid w:val="001117B9"/>
    <w:rsid w:val="00112F5B"/>
    <w:rsid w:val="0011317D"/>
    <w:rsid w:val="001134EF"/>
    <w:rsid w:val="00114386"/>
    <w:rsid w:val="001148BD"/>
    <w:rsid w:val="00114A82"/>
    <w:rsid w:val="00114ECC"/>
    <w:rsid w:val="001151A9"/>
    <w:rsid w:val="00115834"/>
    <w:rsid w:val="00115CCC"/>
    <w:rsid w:val="00115E6A"/>
    <w:rsid w:val="0012030F"/>
    <w:rsid w:val="00120AB4"/>
    <w:rsid w:val="00120BE1"/>
    <w:rsid w:val="0012174B"/>
    <w:rsid w:val="00121A55"/>
    <w:rsid w:val="00121B3C"/>
    <w:rsid w:val="00121C20"/>
    <w:rsid w:val="00121DE5"/>
    <w:rsid w:val="00123367"/>
    <w:rsid w:val="00123AC2"/>
    <w:rsid w:val="00123EA6"/>
    <w:rsid w:val="00123F89"/>
    <w:rsid w:val="00124206"/>
    <w:rsid w:val="0012537B"/>
    <w:rsid w:val="0012558C"/>
    <w:rsid w:val="0012714F"/>
    <w:rsid w:val="00127915"/>
    <w:rsid w:val="00130693"/>
    <w:rsid w:val="00130801"/>
    <w:rsid w:val="00130A8C"/>
    <w:rsid w:val="001310AA"/>
    <w:rsid w:val="00132670"/>
    <w:rsid w:val="001328E9"/>
    <w:rsid w:val="00132C2F"/>
    <w:rsid w:val="00133E88"/>
    <w:rsid w:val="00133ECB"/>
    <w:rsid w:val="0013411A"/>
    <w:rsid w:val="001349F3"/>
    <w:rsid w:val="00136615"/>
    <w:rsid w:val="00136BA5"/>
    <w:rsid w:val="00137077"/>
    <w:rsid w:val="00137241"/>
    <w:rsid w:val="00137B1E"/>
    <w:rsid w:val="00137BBA"/>
    <w:rsid w:val="001403D0"/>
    <w:rsid w:val="00140ABE"/>
    <w:rsid w:val="00141229"/>
    <w:rsid w:val="00141E96"/>
    <w:rsid w:val="00142681"/>
    <w:rsid w:val="00142BD9"/>
    <w:rsid w:val="00143392"/>
    <w:rsid w:val="00143510"/>
    <w:rsid w:val="001438E5"/>
    <w:rsid w:val="00143AB1"/>
    <w:rsid w:val="00143D73"/>
    <w:rsid w:val="00143EA2"/>
    <w:rsid w:val="001448C4"/>
    <w:rsid w:val="0014619B"/>
    <w:rsid w:val="001467AB"/>
    <w:rsid w:val="001468DA"/>
    <w:rsid w:val="00146AE2"/>
    <w:rsid w:val="00146D8F"/>
    <w:rsid w:val="00146E88"/>
    <w:rsid w:val="00147B19"/>
    <w:rsid w:val="00150442"/>
    <w:rsid w:val="00150618"/>
    <w:rsid w:val="00150E64"/>
    <w:rsid w:val="00151766"/>
    <w:rsid w:val="0015247A"/>
    <w:rsid w:val="0015249C"/>
    <w:rsid w:val="00152F39"/>
    <w:rsid w:val="00153226"/>
    <w:rsid w:val="00153918"/>
    <w:rsid w:val="001547E1"/>
    <w:rsid w:val="00154DF4"/>
    <w:rsid w:val="00154F74"/>
    <w:rsid w:val="00155460"/>
    <w:rsid w:val="00156E27"/>
    <w:rsid w:val="001570A5"/>
    <w:rsid w:val="001571E8"/>
    <w:rsid w:val="0015749F"/>
    <w:rsid w:val="001579EF"/>
    <w:rsid w:val="00160375"/>
    <w:rsid w:val="00160D4E"/>
    <w:rsid w:val="00160F50"/>
    <w:rsid w:val="001613F8"/>
    <w:rsid w:val="00161522"/>
    <w:rsid w:val="001617AE"/>
    <w:rsid w:val="00161B0C"/>
    <w:rsid w:val="00161BD0"/>
    <w:rsid w:val="00161E4F"/>
    <w:rsid w:val="0016263C"/>
    <w:rsid w:val="00162AE8"/>
    <w:rsid w:val="00162C56"/>
    <w:rsid w:val="00162DB2"/>
    <w:rsid w:val="00164924"/>
    <w:rsid w:val="00164A55"/>
    <w:rsid w:val="001657B1"/>
    <w:rsid w:val="00165B02"/>
    <w:rsid w:val="00166DCC"/>
    <w:rsid w:val="001676F7"/>
    <w:rsid w:val="00167789"/>
    <w:rsid w:val="00167927"/>
    <w:rsid w:val="0017073E"/>
    <w:rsid w:val="00170C17"/>
    <w:rsid w:val="0017173E"/>
    <w:rsid w:val="00171CA3"/>
    <w:rsid w:val="00171E66"/>
    <w:rsid w:val="001722D8"/>
    <w:rsid w:val="00172A27"/>
    <w:rsid w:val="00172AE3"/>
    <w:rsid w:val="00172C34"/>
    <w:rsid w:val="00173149"/>
    <w:rsid w:val="001733BF"/>
    <w:rsid w:val="00173759"/>
    <w:rsid w:val="001739A3"/>
    <w:rsid w:val="00173D26"/>
    <w:rsid w:val="00174B1E"/>
    <w:rsid w:val="001755B2"/>
    <w:rsid w:val="001755E9"/>
    <w:rsid w:val="00175A5E"/>
    <w:rsid w:val="00176553"/>
    <w:rsid w:val="00177212"/>
    <w:rsid w:val="001774D4"/>
    <w:rsid w:val="00177549"/>
    <w:rsid w:val="00177744"/>
    <w:rsid w:val="001778BE"/>
    <w:rsid w:val="00177F89"/>
    <w:rsid w:val="00180B0D"/>
    <w:rsid w:val="00181ADD"/>
    <w:rsid w:val="00181FEA"/>
    <w:rsid w:val="00181FFD"/>
    <w:rsid w:val="00182706"/>
    <w:rsid w:val="0018284B"/>
    <w:rsid w:val="001828B0"/>
    <w:rsid w:val="00183836"/>
    <w:rsid w:val="001845E9"/>
    <w:rsid w:val="00184630"/>
    <w:rsid w:val="001846D7"/>
    <w:rsid w:val="00184815"/>
    <w:rsid w:val="001848F5"/>
    <w:rsid w:val="001850A4"/>
    <w:rsid w:val="001864FF"/>
    <w:rsid w:val="001874BC"/>
    <w:rsid w:val="00187B3E"/>
    <w:rsid w:val="001913BE"/>
    <w:rsid w:val="0019153B"/>
    <w:rsid w:val="001915A3"/>
    <w:rsid w:val="001919EB"/>
    <w:rsid w:val="00191B94"/>
    <w:rsid w:val="00191D89"/>
    <w:rsid w:val="0019227B"/>
    <w:rsid w:val="00192D08"/>
    <w:rsid w:val="0019368B"/>
    <w:rsid w:val="001938D2"/>
    <w:rsid w:val="00193917"/>
    <w:rsid w:val="001941C8"/>
    <w:rsid w:val="00194D59"/>
    <w:rsid w:val="00195B8B"/>
    <w:rsid w:val="00195DCB"/>
    <w:rsid w:val="00195F14"/>
    <w:rsid w:val="001961A2"/>
    <w:rsid w:val="00196787"/>
    <w:rsid w:val="00196B4C"/>
    <w:rsid w:val="001970AD"/>
    <w:rsid w:val="00197204"/>
    <w:rsid w:val="001A173C"/>
    <w:rsid w:val="001A1844"/>
    <w:rsid w:val="001A1998"/>
    <w:rsid w:val="001A1BE9"/>
    <w:rsid w:val="001A20CA"/>
    <w:rsid w:val="001A290D"/>
    <w:rsid w:val="001A2B9F"/>
    <w:rsid w:val="001A3B13"/>
    <w:rsid w:val="001A3CF6"/>
    <w:rsid w:val="001A3EE7"/>
    <w:rsid w:val="001A4360"/>
    <w:rsid w:val="001A4420"/>
    <w:rsid w:val="001A46B5"/>
    <w:rsid w:val="001A46F2"/>
    <w:rsid w:val="001A68EC"/>
    <w:rsid w:val="001A6C49"/>
    <w:rsid w:val="001A7AB7"/>
    <w:rsid w:val="001A7C91"/>
    <w:rsid w:val="001B0220"/>
    <w:rsid w:val="001B0850"/>
    <w:rsid w:val="001B1281"/>
    <w:rsid w:val="001B1D39"/>
    <w:rsid w:val="001B2126"/>
    <w:rsid w:val="001B2329"/>
    <w:rsid w:val="001B23F5"/>
    <w:rsid w:val="001B24E4"/>
    <w:rsid w:val="001B2666"/>
    <w:rsid w:val="001B2909"/>
    <w:rsid w:val="001B2A31"/>
    <w:rsid w:val="001B2D49"/>
    <w:rsid w:val="001B2E91"/>
    <w:rsid w:val="001B5780"/>
    <w:rsid w:val="001B5B42"/>
    <w:rsid w:val="001B606A"/>
    <w:rsid w:val="001B6DDB"/>
    <w:rsid w:val="001B7078"/>
    <w:rsid w:val="001B7491"/>
    <w:rsid w:val="001B75CF"/>
    <w:rsid w:val="001B7A8D"/>
    <w:rsid w:val="001B7EBE"/>
    <w:rsid w:val="001C06C0"/>
    <w:rsid w:val="001C0AC9"/>
    <w:rsid w:val="001C0D5A"/>
    <w:rsid w:val="001C0D97"/>
    <w:rsid w:val="001C10E5"/>
    <w:rsid w:val="001C1A12"/>
    <w:rsid w:val="001C1D46"/>
    <w:rsid w:val="001C1F6C"/>
    <w:rsid w:val="001C21BB"/>
    <w:rsid w:val="001C3000"/>
    <w:rsid w:val="001C30D1"/>
    <w:rsid w:val="001C33D6"/>
    <w:rsid w:val="001C35B7"/>
    <w:rsid w:val="001C36F7"/>
    <w:rsid w:val="001C3AE0"/>
    <w:rsid w:val="001C3BAD"/>
    <w:rsid w:val="001C5F9A"/>
    <w:rsid w:val="001C6ECF"/>
    <w:rsid w:val="001C7E49"/>
    <w:rsid w:val="001D012D"/>
    <w:rsid w:val="001D0702"/>
    <w:rsid w:val="001D0A25"/>
    <w:rsid w:val="001D1078"/>
    <w:rsid w:val="001D1659"/>
    <w:rsid w:val="001D296C"/>
    <w:rsid w:val="001D2E3E"/>
    <w:rsid w:val="001D2E8A"/>
    <w:rsid w:val="001D2F3D"/>
    <w:rsid w:val="001D33C3"/>
    <w:rsid w:val="001D3DED"/>
    <w:rsid w:val="001D3DF8"/>
    <w:rsid w:val="001D3F8A"/>
    <w:rsid w:val="001D4E6F"/>
    <w:rsid w:val="001D5573"/>
    <w:rsid w:val="001D56C8"/>
    <w:rsid w:val="001D5E80"/>
    <w:rsid w:val="001D6356"/>
    <w:rsid w:val="001D6806"/>
    <w:rsid w:val="001D6EC3"/>
    <w:rsid w:val="001D710C"/>
    <w:rsid w:val="001E0886"/>
    <w:rsid w:val="001E11B1"/>
    <w:rsid w:val="001E1B1E"/>
    <w:rsid w:val="001E1C18"/>
    <w:rsid w:val="001E208F"/>
    <w:rsid w:val="001E233C"/>
    <w:rsid w:val="001E4950"/>
    <w:rsid w:val="001E5014"/>
    <w:rsid w:val="001E630A"/>
    <w:rsid w:val="001E6C11"/>
    <w:rsid w:val="001E7838"/>
    <w:rsid w:val="001E7A22"/>
    <w:rsid w:val="001E7D19"/>
    <w:rsid w:val="001F0C50"/>
    <w:rsid w:val="001F0CFA"/>
    <w:rsid w:val="001F0ECC"/>
    <w:rsid w:val="001F1464"/>
    <w:rsid w:val="001F1897"/>
    <w:rsid w:val="001F1905"/>
    <w:rsid w:val="001F1EAE"/>
    <w:rsid w:val="001F1F7F"/>
    <w:rsid w:val="001F26A0"/>
    <w:rsid w:val="001F2C63"/>
    <w:rsid w:val="001F2E14"/>
    <w:rsid w:val="001F37E0"/>
    <w:rsid w:val="001F3A0C"/>
    <w:rsid w:val="001F3E7F"/>
    <w:rsid w:val="001F401A"/>
    <w:rsid w:val="001F4A76"/>
    <w:rsid w:val="001F4F4A"/>
    <w:rsid w:val="001F534F"/>
    <w:rsid w:val="001F543D"/>
    <w:rsid w:val="001F56BD"/>
    <w:rsid w:val="001F5813"/>
    <w:rsid w:val="001F5989"/>
    <w:rsid w:val="001F64C1"/>
    <w:rsid w:val="001F6CB0"/>
    <w:rsid w:val="002001F1"/>
    <w:rsid w:val="00201348"/>
    <w:rsid w:val="00201A4E"/>
    <w:rsid w:val="00201B37"/>
    <w:rsid w:val="00201C8A"/>
    <w:rsid w:val="00202525"/>
    <w:rsid w:val="00202B43"/>
    <w:rsid w:val="002035A2"/>
    <w:rsid w:val="00203787"/>
    <w:rsid w:val="00203887"/>
    <w:rsid w:val="002046D6"/>
    <w:rsid w:val="00204D09"/>
    <w:rsid w:val="00204F5C"/>
    <w:rsid w:val="00205C71"/>
    <w:rsid w:val="00206815"/>
    <w:rsid w:val="002070C1"/>
    <w:rsid w:val="0020717B"/>
    <w:rsid w:val="00207262"/>
    <w:rsid w:val="00207468"/>
    <w:rsid w:val="00207844"/>
    <w:rsid w:val="00210436"/>
    <w:rsid w:val="0021043B"/>
    <w:rsid w:val="00210440"/>
    <w:rsid w:val="0021054E"/>
    <w:rsid w:val="0021095C"/>
    <w:rsid w:val="002109AA"/>
    <w:rsid w:val="00210AC5"/>
    <w:rsid w:val="00210E7E"/>
    <w:rsid w:val="00211084"/>
    <w:rsid w:val="00211254"/>
    <w:rsid w:val="002122AD"/>
    <w:rsid w:val="0021299B"/>
    <w:rsid w:val="002139CD"/>
    <w:rsid w:val="00213E88"/>
    <w:rsid w:val="00214801"/>
    <w:rsid w:val="00214C22"/>
    <w:rsid w:val="00214C4A"/>
    <w:rsid w:val="00214FDD"/>
    <w:rsid w:val="0021647A"/>
    <w:rsid w:val="00216DB2"/>
    <w:rsid w:val="00217057"/>
    <w:rsid w:val="002170FD"/>
    <w:rsid w:val="0021781A"/>
    <w:rsid w:val="00217A9E"/>
    <w:rsid w:val="002201AC"/>
    <w:rsid w:val="0022067E"/>
    <w:rsid w:val="00221029"/>
    <w:rsid w:val="0022131F"/>
    <w:rsid w:val="002213C6"/>
    <w:rsid w:val="002216BD"/>
    <w:rsid w:val="00221E89"/>
    <w:rsid w:val="00221FE8"/>
    <w:rsid w:val="00222F08"/>
    <w:rsid w:val="00223045"/>
    <w:rsid w:val="002237FD"/>
    <w:rsid w:val="0022383D"/>
    <w:rsid w:val="00223AED"/>
    <w:rsid w:val="00223BB4"/>
    <w:rsid w:val="00223DBF"/>
    <w:rsid w:val="00223FB6"/>
    <w:rsid w:val="0022435D"/>
    <w:rsid w:val="0022442C"/>
    <w:rsid w:val="002245B1"/>
    <w:rsid w:val="00224A1D"/>
    <w:rsid w:val="00224BA5"/>
    <w:rsid w:val="00225340"/>
    <w:rsid w:val="002259D7"/>
    <w:rsid w:val="00225E69"/>
    <w:rsid w:val="002269FF"/>
    <w:rsid w:val="002274F2"/>
    <w:rsid w:val="00227BE4"/>
    <w:rsid w:val="002303B3"/>
    <w:rsid w:val="00230D0C"/>
    <w:rsid w:val="00230EA4"/>
    <w:rsid w:val="0023207C"/>
    <w:rsid w:val="0023316C"/>
    <w:rsid w:val="00233EA8"/>
    <w:rsid w:val="00233EE9"/>
    <w:rsid w:val="002344D9"/>
    <w:rsid w:val="00235237"/>
    <w:rsid w:val="002356F7"/>
    <w:rsid w:val="0023573C"/>
    <w:rsid w:val="00235CCD"/>
    <w:rsid w:val="0023602F"/>
    <w:rsid w:val="00236048"/>
    <w:rsid w:val="002362ED"/>
    <w:rsid w:val="00237036"/>
    <w:rsid w:val="002372AC"/>
    <w:rsid w:val="00237588"/>
    <w:rsid w:val="002375DA"/>
    <w:rsid w:val="00237A33"/>
    <w:rsid w:val="00237F7F"/>
    <w:rsid w:val="002402E8"/>
    <w:rsid w:val="002405DB"/>
    <w:rsid w:val="00240B0F"/>
    <w:rsid w:val="00240CF2"/>
    <w:rsid w:val="00240E54"/>
    <w:rsid w:val="00241314"/>
    <w:rsid w:val="00241BD9"/>
    <w:rsid w:val="0024238B"/>
    <w:rsid w:val="00242B67"/>
    <w:rsid w:val="00243381"/>
    <w:rsid w:val="00243756"/>
    <w:rsid w:val="00243EFD"/>
    <w:rsid w:val="002442A5"/>
    <w:rsid w:val="00244AF3"/>
    <w:rsid w:val="00244B2D"/>
    <w:rsid w:val="00244EF8"/>
    <w:rsid w:val="00244EFB"/>
    <w:rsid w:val="00245008"/>
    <w:rsid w:val="002451ED"/>
    <w:rsid w:val="002458E4"/>
    <w:rsid w:val="00245900"/>
    <w:rsid w:val="00245DD8"/>
    <w:rsid w:val="0024757C"/>
    <w:rsid w:val="002506EE"/>
    <w:rsid w:val="00250E42"/>
    <w:rsid w:val="00250E89"/>
    <w:rsid w:val="0025197E"/>
    <w:rsid w:val="00252912"/>
    <w:rsid w:val="00252D49"/>
    <w:rsid w:val="00253956"/>
    <w:rsid w:val="00253C51"/>
    <w:rsid w:val="002548D3"/>
    <w:rsid w:val="00254E85"/>
    <w:rsid w:val="0025568B"/>
    <w:rsid w:val="00255E94"/>
    <w:rsid w:val="002561B7"/>
    <w:rsid w:val="002562F6"/>
    <w:rsid w:val="00256EDB"/>
    <w:rsid w:val="00256FEA"/>
    <w:rsid w:val="00257131"/>
    <w:rsid w:val="00257314"/>
    <w:rsid w:val="0025733E"/>
    <w:rsid w:val="00257590"/>
    <w:rsid w:val="00257882"/>
    <w:rsid w:val="00257F6B"/>
    <w:rsid w:val="00260C4E"/>
    <w:rsid w:val="0026110D"/>
    <w:rsid w:val="00261B4C"/>
    <w:rsid w:val="00261C50"/>
    <w:rsid w:val="00261C71"/>
    <w:rsid w:val="00261E06"/>
    <w:rsid w:val="0026249A"/>
    <w:rsid w:val="002625B4"/>
    <w:rsid w:val="00263090"/>
    <w:rsid w:val="00263146"/>
    <w:rsid w:val="00264D98"/>
    <w:rsid w:val="00265054"/>
    <w:rsid w:val="0026523F"/>
    <w:rsid w:val="002657D5"/>
    <w:rsid w:val="00265EBC"/>
    <w:rsid w:val="0026696D"/>
    <w:rsid w:val="00266BE6"/>
    <w:rsid w:val="00267127"/>
    <w:rsid w:val="00267325"/>
    <w:rsid w:val="002674F1"/>
    <w:rsid w:val="00267935"/>
    <w:rsid w:val="00270B8F"/>
    <w:rsid w:val="00270E73"/>
    <w:rsid w:val="00271B39"/>
    <w:rsid w:val="00271C92"/>
    <w:rsid w:val="0027280E"/>
    <w:rsid w:val="0027293A"/>
    <w:rsid w:val="0027313B"/>
    <w:rsid w:val="00273CF6"/>
    <w:rsid w:val="00273F3E"/>
    <w:rsid w:val="00274F13"/>
    <w:rsid w:val="002752E7"/>
    <w:rsid w:val="00275567"/>
    <w:rsid w:val="00275D52"/>
    <w:rsid w:val="00276536"/>
    <w:rsid w:val="00276BC6"/>
    <w:rsid w:val="0027723E"/>
    <w:rsid w:val="002772D9"/>
    <w:rsid w:val="002772EA"/>
    <w:rsid w:val="00277FDA"/>
    <w:rsid w:val="0028026F"/>
    <w:rsid w:val="0028028C"/>
    <w:rsid w:val="00280915"/>
    <w:rsid w:val="002814FA"/>
    <w:rsid w:val="00281DA0"/>
    <w:rsid w:val="00281ECB"/>
    <w:rsid w:val="0028242D"/>
    <w:rsid w:val="002829C0"/>
    <w:rsid w:val="00282D45"/>
    <w:rsid w:val="00283253"/>
    <w:rsid w:val="0028362C"/>
    <w:rsid w:val="002836C6"/>
    <w:rsid w:val="00284442"/>
    <w:rsid w:val="0028615B"/>
    <w:rsid w:val="00286DFC"/>
    <w:rsid w:val="00287102"/>
    <w:rsid w:val="00290002"/>
    <w:rsid w:val="0029069C"/>
    <w:rsid w:val="00291560"/>
    <w:rsid w:val="00291AF5"/>
    <w:rsid w:val="0029244F"/>
    <w:rsid w:val="00293B82"/>
    <w:rsid w:val="00293DA4"/>
    <w:rsid w:val="002965D8"/>
    <w:rsid w:val="0029715E"/>
    <w:rsid w:val="002A00F2"/>
    <w:rsid w:val="002A0381"/>
    <w:rsid w:val="002A0425"/>
    <w:rsid w:val="002A0651"/>
    <w:rsid w:val="002A06BD"/>
    <w:rsid w:val="002A11FB"/>
    <w:rsid w:val="002A120C"/>
    <w:rsid w:val="002A1715"/>
    <w:rsid w:val="002A1996"/>
    <w:rsid w:val="002A1F00"/>
    <w:rsid w:val="002A1F34"/>
    <w:rsid w:val="002A2185"/>
    <w:rsid w:val="002A21D9"/>
    <w:rsid w:val="002A334F"/>
    <w:rsid w:val="002A3C88"/>
    <w:rsid w:val="002A41C2"/>
    <w:rsid w:val="002A4C00"/>
    <w:rsid w:val="002A50DC"/>
    <w:rsid w:val="002A52CC"/>
    <w:rsid w:val="002A55AD"/>
    <w:rsid w:val="002A588A"/>
    <w:rsid w:val="002A58FF"/>
    <w:rsid w:val="002A5C6C"/>
    <w:rsid w:val="002A5FBD"/>
    <w:rsid w:val="002A6046"/>
    <w:rsid w:val="002A632B"/>
    <w:rsid w:val="002A6C04"/>
    <w:rsid w:val="002A6E4D"/>
    <w:rsid w:val="002A7153"/>
    <w:rsid w:val="002A728A"/>
    <w:rsid w:val="002A7310"/>
    <w:rsid w:val="002A73C5"/>
    <w:rsid w:val="002A7D4F"/>
    <w:rsid w:val="002A7F8A"/>
    <w:rsid w:val="002B011D"/>
    <w:rsid w:val="002B021E"/>
    <w:rsid w:val="002B08F6"/>
    <w:rsid w:val="002B2E09"/>
    <w:rsid w:val="002B366D"/>
    <w:rsid w:val="002B3938"/>
    <w:rsid w:val="002B3C7C"/>
    <w:rsid w:val="002B42D8"/>
    <w:rsid w:val="002B4B5E"/>
    <w:rsid w:val="002B4F70"/>
    <w:rsid w:val="002B51D5"/>
    <w:rsid w:val="002B6528"/>
    <w:rsid w:val="002B6DB3"/>
    <w:rsid w:val="002C065B"/>
    <w:rsid w:val="002C08AB"/>
    <w:rsid w:val="002C183E"/>
    <w:rsid w:val="002C1AA0"/>
    <w:rsid w:val="002C1D83"/>
    <w:rsid w:val="002C237E"/>
    <w:rsid w:val="002C24DC"/>
    <w:rsid w:val="002C3057"/>
    <w:rsid w:val="002C365A"/>
    <w:rsid w:val="002C44A2"/>
    <w:rsid w:val="002C467A"/>
    <w:rsid w:val="002C4AC6"/>
    <w:rsid w:val="002C526F"/>
    <w:rsid w:val="002C5411"/>
    <w:rsid w:val="002C55AB"/>
    <w:rsid w:val="002C588A"/>
    <w:rsid w:val="002C5EEF"/>
    <w:rsid w:val="002C6527"/>
    <w:rsid w:val="002C7D71"/>
    <w:rsid w:val="002D0724"/>
    <w:rsid w:val="002D13DF"/>
    <w:rsid w:val="002D2936"/>
    <w:rsid w:val="002D3B6B"/>
    <w:rsid w:val="002D41A4"/>
    <w:rsid w:val="002D603D"/>
    <w:rsid w:val="002D62E1"/>
    <w:rsid w:val="002E00AD"/>
    <w:rsid w:val="002E032F"/>
    <w:rsid w:val="002E075F"/>
    <w:rsid w:val="002E08C1"/>
    <w:rsid w:val="002E0B56"/>
    <w:rsid w:val="002E0B5D"/>
    <w:rsid w:val="002E1192"/>
    <w:rsid w:val="002E1650"/>
    <w:rsid w:val="002E1ABF"/>
    <w:rsid w:val="002E1DA6"/>
    <w:rsid w:val="002E1FD4"/>
    <w:rsid w:val="002E2087"/>
    <w:rsid w:val="002E214F"/>
    <w:rsid w:val="002E24BD"/>
    <w:rsid w:val="002E3C98"/>
    <w:rsid w:val="002E4485"/>
    <w:rsid w:val="002E4681"/>
    <w:rsid w:val="002E4D51"/>
    <w:rsid w:val="002E5619"/>
    <w:rsid w:val="002E57C9"/>
    <w:rsid w:val="002E6136"/>
    <w:rsid w:val="002E6371"/>
    <w:rsid w:val="002E6A58"/>
    <w:rsid w:val="002E6D98"/>
    <w:rsid w:val="002E7881"/>
    <w:rsid w:val="002E7975"/>
    <w:rsid w:val="002E7A31"/>
    <w:rsid w:val="002F01F2"/>
    <w:rsid w:val="002F068A"/>
    <w:rsid w:val="002F11D5"/>
    <w:rsid w:val="002F1A62"/>
    <w:rsid w:val="002F21EF"/>
    <w:rsid w:val="002F2741"/>
    <w:rsid w:val="002F2B63"/>
    <w:rsid w:val="002F3765"/>
    <w:rsid w:val="002F3F28"/>
    <w:rsid w:val="002F44A0"/>
    <w:rsid w:val="002F471C"/>
    <w:rsid w:val="002F496A"/>
    <w:rsid w:val="002F4F44"/>
    <w:rsid w:val="002F50DA"/>
    <w:rsid w:val="002F56B1"/>
    <w:rsid w:val="002F584B"/>
    <w:rsid w:val="002F5EEE"/>
    <w:rsid w:val="002F5FC3"/>
    <w:rsid w:val="002F6EF2"/>
    <w:rsid w:val="002F79E2"/>
    <w:rsid w:val="002F7D39"/>
    <w:rsid w:val="002F7E8D"/>
    <w:rsid w:val="00301475"/>
    <w:rsid w:val="003022E5"/>
    <w:rsid w:val="00302461"/>
    <w:rsid w:val="00302899"/>
    <w:rsid w:val="00302A04"/>
    <w:rsid w:val="003033D9"/>
    <w:rsid w:val="00303C85"/>
    <w:rsid w:val="00303F98"/>
    <w:rsid w:val="00304338"/>
    <w:rsid w:val="003044F5"/>
    <w:rsid w:val="003051C9"/>
    <w:rsid w:val="00305C1F"/>
    <w:rsid w:val="00305D1D"/>
    <w:rsid w:val="00306B5E"/>
    <w:rsid w:val="0030700E"/>
    <w:rsid w:val="00307766"/>
    <w:rsid w:val="00307A2D"/>
    <w:rsid w:val="00310D4B"/>
    <w:rsid w:val="00310EC0"/>
    <w:rsid w:val="00311161"/>
    <w:rsid w:val="003122A3"/>
    <w:rsid w:val="003132C3"/>
    <w:rsid w:val="00313A3B"/>
    <w:rsid w:val="00313BCE"/>
    <w:rsid w:val="00313E20"/>
    <w:rsid w:val="00314F5B"/>
    <w:rsid w:val="00315243"/>
    <w:rsid w:val="00315A94"/>
    <w:rsid w:val="00315CB5"/>
    <w:rsid w:val="003164FD"/>
    <w:rsid w:val="00317240"/>
    <w:rsid w:val="0031737C"/>
    <w:rsid w:val="00320073"/>
    <w:rsid w:val="003201A8"/>
    <w:rsid w:val="003203BF"/>
    <w:rsid w:val="00320626"/>
    <w:rsid w:val="00320DE9"/>
    <w:rsid w:val="00321435"/>
    <w:rsid w:val="003214C3"/>
    <w:rsid w:val="003214D6"/>
    <w:rsid w:val="003219DD"/>
    <w:rsid w:val="00321BF3"/>
    <w:rsid w:val="00321CC1"/>
    <w:rsid w:val="0032244E"/>
    <w:rsid w:val="00323373"/>
    <w:rsid w:val="003242E5"/>
    <w:rsid w:val="00324DD8"/>
    <w:rsid w:val="00324EC6"/>
    <w:rsid w:val="003256E0"/>
    <w:rsid w:val="00325E6C"/>
    <w:rsid w:val="003261AE"/>
    <w:rsid w:val="00326A13"/>
    <w:rsid w:val="00327114"/>
    <w:rsid w:val="00327B3E"/>
    <w:rsid w:val="00327EA3"/>
    <w:rsid w:val="00332227"/>
    <w:rsid w:val="00332486"/>
    <w:rsid w:val="00333097"/>
    <w:rsid w:val="0033321A"/>
    <w:rsid w:val="00333612"/>
    <w:rsid w:val="00333676"/>
    <w:rsid w:val="003336FD"/>
    <w:rsid w:val="00333A02"/>
    <w:rsid w:val="00333D3B"/>
    <w:rsid w:val="00333E4C"/>
    <w:rsid w:val="00334224"/>
    <w:rsid w:val="0033425B"/>
    <w:rsid w:val="003342F6"/>
    <w:rsid w:val="00334680"/>
    <w:rsid w:val="00334969"/>
    <w:rsid w:val="003350A3"/>
    <w:rsid w:val="0033586C"/>
    <w:rsid w:val="00335EFB"/>
    <w:rsid w:val="003364B8"/>
    <w:rsid w:val="003364EB"/>
    <w:rsid w:val="00336ACB"/>
    <w:rsid w:val="003370F4"/>
    <w:rsid w:val="003374CB"/>
    <w:rsid w:val="00337D7C"/>
    <w:rsid w:val="00340445"/>
    <w:rsid w:val="003425A6"/>
    <w:rsid w:val="00342A4E"/>
    <w:rsid w:val="00342BAE"/>
    <w:rsid w:val="003431F0"/>
    <w:rsid w:val="00343ACE"/>
    <w:rsid w:val="00344388"/>
    <w:rsid w:val="0034484F"/>
    <w:rsid w:val="00345AD6"/>
    <w:rsid w:val="00345E2A"/>
    <w:rsid w:val="00345F25"/>
    <w:rsid w:val="00346772"/>
    <w:rsid w:val="00346E05"/>
    <w:rsid w:val="00347EED"/>
    <w:rsid w:val="003514C0"/>
    <w:rsid w:val="00351F42"/>
    <w:rsid w:val="00352BC1"/>
    <w:rsid w:val="00352F19"/>
    <w:rsid w:val="003536EE"/>
    <w:rsid w:val="00353939"/>
    <w:rsid w:val="00354FA4"/>
    <w:rsid w:val="00355855"/>
    <w:rsid w:val="0035600D"/>
    <w:rsid w:val="00356902"/>
    <w:rsid w:val="003571E8"/>
    <w:rsid w:val="00357CBA"/>
    <w:rsid w:val="003602AF"/>
    <w:rsid w:val="003619E8"/>
    <w:rsid w:val="00361FC9"/>
    <w:rsid w:val="00363CCB"/>
    <w:rsid w:val="003640EA"/>
    <w:rsid w:val="003642A2"/>
    <w:rsid w:val="003646C5"/>
    <w:rsid w:val="00365006"/>
    <w:rsid w:val="00365258"/>
    <w:rsid w:val="003653AC"/>
    <w:rsid w:val="00365ABF"/>
    <w:rsid w:val="003669D1"/>
    <w:rsid w:val="00366FA8"/>
    <w:rsid w:val="003675A2"/>
    <w:rsid w:val="0036774E"/>
    <w:rsid w:val="0037017C"/>
    <w:rsid w:val="003703D0"/>
    <w:rsid w:val="003706B3"/>
    <w:rsid w:val="003709F9"/>
    <w:rsid w:val="00372447"/>
    <w:rsid w:val="00372522"/>
    <w:rsid w:val="003728C9"/>
    <w:rsid w:val="00373353"/>
    <w:rsid w:val="00373923"/>
    <w:rsid w:val="003744B5"/>
    <w:rsid w:val="003745F2"/>
    <w:rsid w:val="00374BA5"/>
    <w:rsid w:val="00374BB4"/>
    <w:rsid w:val="003756AA"/>
    <w:rsid w:val="00376309"/>
    <w:rsid w:val="00376E0D"/>
    <w:rsid w:val="003773D2"/>
    <w:rsid w:val="00377B2A"/>
    <w:rsid w:val="00377D0B"/>
    <w:rsid w:val="003805AC"/>
    <w:rsid w:val="0038079C"/>
    <w:rsid w:val="00380AE6"/>
    <w:rsid w:val="00381308"/>
    <w:rsid w:val="00381408"/>
    <w:rsid w:val="003814E4"/>
    <w:rsid w:val="00381578"/>
    <w:rsid w:val="003824ED"/>
    <w:rsid w:val="0038250A"/>
    <w:rsid w:val="00382561"/>
    <w:rsid w:val="00382B9E"/>
    <w:rsid w:val="00382C17"/>
    <w:rsid w:val="0038312C"/>
    <w:rsid w:val="0038318E"/>
    <w:rsid w:val="0038436C"/>
    <w:rsid w:val="003843EC"/>
    <w:rsid w:val="003847A5"/>
    <w:rsid w:val="00385229"/>
    <w:rsid w:val="003853E7"/>
    <w:rsid w:val="00385433"/>
    <w:rsid w:val="00387884"/>
    <w:rsid w:val="00387F66"/>
    <w:rsid w:val="0039022F"/>
    <w:rsid w:val="0039048F"/>
    <w:rsid w:val="003909DB"/>
    <w:rsid w:val="00390AD5"/>
    <w:rsid w:val="00391069"/>
    <w:rsid w:val="00391591"/>
    <w:rsid w:val="003919DA"/>
    <w:rsid w:val="00391BFD"/>
    <w:rsid w:val="003922FE"/>
    <w:rsid w:val="00392999"/>
    <w:rsid w:val="00392B88"/>
    <w:rsid w:val="00392CF1"/>
    <w:rsid w:val="00393028"/>
    <w:rsid w:val="0039313E"/>
    <w:rsid w:val="003934F9"/>
    <w:rsid w:val="00393AB1"/>
    <w:rsid w:val="00394848"/>
    <w:rsid w:val="00394A73"/>
    <w:rsid w:val="00394CBF"/>
    <w:rsid w:val="00394D1B"/>
    <w:rsid w:val="00394EA1"/>
    <w:rsid w:val="00395AE1"/>
    <w:rsid w:val="00395F33"/>
    <w:rsid w:val="003960EC"/>
    <w:rsid w:val="00396982"/>
    <w:rsid w:val="00396A2D"/>
    <w:rsid w:val="0039729C"/>
    <w:rsid w:val="00397BFA"/>
    <w:rsid w:val="003A03CE"/>
    <w:rsid w:val="003A0BE4"/>
    <w:rsid w:val="003A1771"/>
    <w:rsid w:val="003A1D06"/>
    <w:rsid w:val="003A1F30"/>
    <w:rsid w:val="003A236B"/>
    <w:rsid w:val="003A268D"/>
    <w:rsid w:val="003A2908"/>
    <w:rsid w:val="003A347A"/>
    <w:rsid w:val="003A3C39"/>
    <w:rsid w:val="003A3CAC"/>
    <w:rsid w:val="003A4065"/>
    <w:rsid w:val="003A407A"/>
    <w:rsid w:val="003A44F3"/>
    <w:rsid w:val="003A505C"/>
    <w:rsid w:val="003A574F"/>
    <w:rsid w:val="003A58D0"/>
    <w:rsid w:val="003A6FDB"/>
    <w:rsid w:val="003B016F"/>
    <w:rsid w:val="003B01FA"/>
    <w:rsid w:val="003B0A1B"/>
    <w:rsid w:val="003B0DE7"/>
    <w:rsid w:val="003B1B85"/>
    <w:rsid w:val="003B20E9"/>
    <w:rsid w:val="003B2926"/>
    <w:rsid w:val="003B3713"/>
    <w:rsid w:val="003B3AA5"/>
    <w:rsid w:val="003B445F"/>
    <w:rsid w:val="003B4982"/>
    <w:rsid w:val="003B4B46"/>
    <w:rsid w:val="003B4DF0"/>
    <w:rsid w:val="003B5C4E"/>
    <w:rsid w:val="003B65AB"/>
    <w:rsid w:val="003B6CFD"/>
    <w:rsid w:val="003B7115"/>
    <w:rsid w:val="003B7B4E"/>
    <w:rsid w:val="003B7D23"/>
    <w:rsid w:val="003C0C16"/>
    <w:rsid w:val="003C121F"/>
    <w:rsid w:val="003C1C09"/>
    <w:rsid w:val="003C1F0B"/>
    <w:rsid w:val="003C2E11"/>
    <w:rsid w:val="003C3323"/>
    <w:rsid w:val="003C3359"/>
    <w:rsid w:val="003C3B63"/>
    <w:rsid w:val="003C3E94"/>
    <w:rsid w:val="003C44A5"/>
    <w:rsid w:val="003C4544"/>
    <w:rsid w:val="003C488F"/>
    <w:rsid w:val="003C4DA4"/>
    <w:rsid w:val="003C4E2E"/>
    <w:rsid w:val="003C5286"/>
    <w:rsid w:val="003C542A"/>
    <w:rsid w:val="003C57AA"/>
    <w:rsid w:val="003C5B59"/>
    <w:rsid w:val="003C63D8"/>
    <w:rsid w:val="003D06D4"/>
    <w:rsid w:val="003D1034"/>
    <w:rsid w:val="003D16D0"/>
    <w:rsid w:val="003D27FB"/>
    <w:rsid w:val="003D3FDB"/>
    <w:rsid w:val="003D482D"/>
    <w:rsid w:val="003D53DC"/>
    <w:rsid w:val="003D54FA"/>
    <w:rsid w:val="003D589A"/>
    <w:rsid w:val="003D5A2F"/>
    <w:rsid w:val="003D6826"/>
    <w:rsid w:val="003D6E2F"/>
    <w:rsid w:val="003D7964"/>
    <w:rsid w:val="003D7BA8"/>
    <w:rsid w:val="003D7E59"/>
    <w:rsid w:val="003E0E08"/>
    <w:rsid w:val="003E1C2F"/>
    <w:rsid w:val="003E1EDB"/>
    <w:rsid w:val="003E2286"/>
    <w:rsid w:val="003E27AC"/>
    <w:rsid w:val="003E2AFF"/>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E77"/>
    <w:rsid w:val="003F0D0D"/>
    <w:rsid w:val="003F1213"/>
    <w:rsid w:val="003F179E"/>
    <w:rsid w:val="003F1823"/>
    <w:rsid w:val="003F1DDF"/>
    <w:rsid w:val="003F1F28"/>
    <w:rsid w:val="003F2D6E"/>
    <w:rsid w:val="003F2ED7"/>
    <w:rsid w:val="003F3ED0"/>
    <w:rsid w:val="003F447B"/>
    <w:rsid w:val="003F50A1"/>
    <w:rsid w:val="003F5132"/>
    <w:rsid w:val="003F65B3"/>
    <w:rsid w:val="003F6B1B"/>
    <w:rsid w:val="003F6BA8"/>
    <w:rsid w:val="003F7F24"/>
    <w:rsid w:val="00400133"/>
    <w:rsid w:val="004009A7"/>
    <w:rsid w:val="00400A0B"/>
    <w:rsid w:val="00400A9F"/>
    <w:rsid w:val="00400D1B"/>
    <w:rsid w:val="004015AD"/>
    <w:rsid w:val="00401E65"/>
    <w:rsid w:val="00402593"/>
    <w:rsid w:val="004025F3"/>
    <w:rsid w:val="00402840"/>
    <w:rsid w:val="00402AB6"/>
    <w:rsid w:val="00402FEE"/>
    <w:rsid w:val="004030E9"/>
    <w:rsid w:val="004035B9"/>
    <w:rsid w:val="00403BC3"/>
    <w:rsid w:val="00403DA9"/>
    <w:rsid w:val="004041EF"/>
    <w:rsid w:val="00404F25"/>
    <w:rsid w:val="00405A2A"/>
    <w:rsid w:val="00405AF2"/>
    <w:rsid w:val="00405C91"/>
    <w:rsid w:val="00405E73"/>
    <w:rsid w:val="00405FD0"/>
    <w:rsid w:val="004061A4"/>
    <w:rsid w:val="004061E0"/>
    <w:rsid w:val="0040632D"/>
    <w:rsid w:val="00406AED"/>
    <w:rsid w:val="00407B04"/>
    <w:rsid w:val="00407BC7"/>
    <w:rsid w:val="004101C5"/>
    <w:rsid w:val="004103C4"/>
    <w:rsid w:val="00410BE7"/>
    <w:rsid w:val="00410D26"/>
    <w:rsid w:val="0041105B"/>
    <w:rsid w:val="004110C4"/>
    <w:rsid w:val="004124E8"/>
    <w:rsid w:val="00412773"/>
    <w:rsid w:val="0041311B"/>
    <w:rsid w:val="00413625"/>
    <w:rsid w:val="00413998"/>
    <w:rsid w:val="00413BFD"/>
    <w:rsid w:val="00413DFF"/>
    <w:rsid w:val="00414A4F"/>
    <w:rsid w:val="00415756"/>
    <w:rsid w:val="00415B9C"/>
    <w:rsid w:val="004166CA"/>
    <w:rsid w:val="0041688D"/>
    <w:rsid w:val="004168DB"/>
    <w:rsid w:val="00416970"/>
    <w:rsid w:val="00416A9F"/>
    <w:rsid w:val="004170BB"/>
    <w:rsid w:val="00417D63"/>
    <w:rsid w:val="004201B7"/>
    <w:rsid w:val="00421FC0"/>
    <w:rsid w:val="00422A18"/>
    <w:rsid w:val="00422B01"/>
    <w:rsid w:val="00423668"/>
    <w:rsid w:val="00423C36"/>
    <w:rsid w:val="004242E7"/>
    <w:rsid w:val="00424451"/>
    <w:rsid w:val="00424697"/>
    <w:rsid w:val="00424B8A"/>
    <w:rsid w:val="004257A4"/>
    <w:rsid w:val="00425A62"/>
    <w:rsid w:val="00425BEB"/>
    <w:rsid w:val="00425DDC"/>
    <w:rsid w:val="00426433"/>
    <w:rsid w:val="00426BE7"/>
    <w:rsid w:val="0042701A"/>
    <w:rsid w:val="00427369"/>
    <w:rsid w:val="00427383"/>
    <w:rsid w:val="00427BF1"/>
    <w:rsid w:val="004304D3"/>
    <w:rsid w:val="00430640"/>
    <w:rsid w:val="00430E30"/>
    <w:rsid w:val="00431315"/>
    <w:rsid w:val="00431CAB"/>
    <w:rsid w:val="00432122"/>
    <w:rsid w:val="00433A29"/>
    <w:rsid w:val="004342A5"/>
    <w:rsid w:val="00435338"/>
    <w:rsid w:val="0043621F"/>
    <w:rsid w:val="00436852"/>
    <w:rsid w:val="00436AF4"/>
    <w:rsid w:val="00436D58"/>
    <w:rsid w:val="00437998"/>
    <w:rsid w:val="004379D3"/>
    <w:rsid w:val="004406D0"/>
    <w:rsid w:val="004407FB"/>
    <w:rsid w:val="00441233"/>
    <w:rsid w:val="0044149E"/>
    <w:rsid w:val="00441512"/>
    <w:rsid w:val="00441873"/>
    <w:rsid w:val="00441F5D"/>
    <w:rsid w:val="00442241"/>
    <w:rsid w:val="004423C3"/>
    <w:rsid w:val="004424D0"/>
    <w:rsid w:val="00442D09"/>
    <w:rsid w:val="004434AB"/>
    <w:rsid w:val="00443C8A"/>
    <w:rsid w:val="00443DFB"/>
    <w:rsid w:val="0044493B"/>
    <w:rsid w:val="00444C0A"/>
    <w:rsid w:val="00444CD2"/>
    <w:rsid w:val="0044510F"/>
    <w:rsid w:val="00445FD0"/>
    <w:rsid w:val="00446573"/>
    <w:rsid w:val="0044696A"/>
    <w:rsid w:val="004470D3"/>
    <w:rsid w:val="004503FD"/>
    <w:rsid w:val="00450BA1"/>
    <w:rsid w:val="00450E38"/>
    <w:rsid w:val="004515EC"/>
    <w:rsid w:val="0045181C"/>
    <w:rsid w:val="00451AE9"/>
    <w:rsid w:val="00451B7A"/>
    <w:rsid w:val="00451DFC"/>
    <w:rsid w:val="00452B13"/>
    <w:rsid w:val="00453895"/>
    <w:rsid w:val="004538F6"/>
    <w:rsid w:val="004548A5"/>
    <w:rsid w:val="00454B0F"/>
    <w:rsid w:val="004553EB"/>
    <w:rsid w:val="00455D28"/>
    <w:rsid w:val="00455D9A"/>
    <w:rsid w:val="00455E39"/>
    <w:rsid w:val="004562BC"/>
    <w:rsid w:val="004562F1"/>
    <w:rsid w:val="00456A9B"/>
    <w:rsid w:val="0045708B"/>
    <w:rsid w:val="00457269"/>
    <w:rsid w:val="00460233"/>
    <w:rsid w:val="0046123F"/>
    <w:rsid w:val="004619CC"/>
    <w:rsid w:val="00461E36"/>
    <w:rsid w:val="0046392A"/>
    <w:rsid w:val="0046451D"/>
    <w:rsid w:val="00464A3F"/>
    <w:rsid w:val="00464A7E"/>
    <w:rsid w:val="004652F8"/>
    <w:rsid w:val="00465B3E"/>
    <w:rsid w:val="00465C0D"/>
    <w:rsid w:val="00465DED"/>
    <w:rsid w:val="00466945"/>
    <w:rsid w:val="00466ED5"/>
    <w:rsid w:val="00467388"/>
    <w:rsid w:val="00467D61"/>
    <w:rsid w:val="00470261"/>
    <w:rsid w:val="00470367"/>
    <w:rsid w:val="004705C5"/>
    <w:rsid w:val="0047062C"/>
    <w:rsid w:val="00470934"/>
    <w:rsid w:val="00470AE5"/>
    <w:rsid w:val="0047124D"/>
    <w:rsid w:val="00471CC8"/>
    <w:rsid w:val="00471EE7"/>
    <w:rsid w:val="0047226D"/>
    <w:rsid w:val="0047365F"/>
    <w:rsid w:val="00474CD6"/>
    <w:rsid w:val="00474D62"/>
    <w:rsid w:val="004751E7"/>
    <w:rsid w:val="0047557C"/>
    <w:rsid w:val="0047562B"/>
    <w:rsid w:val="004758F9"/>
    <w:rsid w:val="00475D1D"/>
    <w:rsid w:val="004770BE"/>
    <w:rsid w:val="00477276"/>
    <w:rsid w:val="004776B9"/>
    <w:rsid w:val="00477C17"/>
    <w:rsid w:val="00480837"/>
    <w:rsid w:val="004813C6"/>
    <w:rsid w:val="00481B7C"/>
    <w:rsid w:val="00482480"/>
    <w:rsid w:val="00482C64"/>
    <w:rsid w:val="00482DF6"/>
    <w:rsid w:val="00485168"/>
    <w:rsid w:val="004855EC"/>
    <w:rsid w:val="0048578C"/>
    <w:rsid w:val="00485872"/>
    <w:rsid w:val="00485915"/>
    <w:rsid w:val="00485EA4"/>
    <w:rsid w:val="0048669A"/>
    <w:rsid w:val="00486C08"/>
    <w:rsid w:val="0048757E"/>
    <w:rsid w:val="00487C54"/>
    <w:rsid w:val="00487F2E"/>
    <w:rsid w:val="00490561"/>
    <w:rsid w:val="0049059F"/>
    <w:rsid w:val="00490F6B"/>
    <w:rsid w:val="00492CA8"/>
    <w:rsid w:val="004932D3"/>
    <w:rsid w:val="0049351A"/>
    <w:rsid w:val="0049364A"/>
    <w:rsid w:val="00493783"/>
    <w:rsid w:val="00493EFE"/>
    <w:rsid w:val="004940C3"/>
    <w:rsid w:val="004945B1"/>
    <w:rsid w:val="00494C12"/>
    <w:rsid w:val="0049523D"/>
    <w:rsid w:val="00495625"/>
    <w:rsid w:val="004963B5"/>
    <w:rsid w:val="00496420"/>
    <w:rsid w:val="00496B30"/>
    <w:rsid w:val="00496C58"/>
    <w:rsid w:val="004975A9"/>
    <w:rsid w:val="004977A8"/>
    <w:rsid w:val="00497E2B"/>
    <w:rsid w:val="004A002C"/>
    <w:rsid w:val="004A0AD0"/>
    <w:rsid w:val="004A0F14"/>
    <w:rsid w:val="004A1539"/>
    <w:rsid w:val="004A1D55"/>
    <w:rsid w:val="004A262B"/>
    <w:rsid w:val="004A2B58"/>
    <w:rsid w:val="004A2E82"/>
    <w:rsid w:val="004A3080"/>
    <w:rsid w:val="004A4429"/>
    <w:rsid w:val="004A44FB"/>
    <w:rsid w:val="004A4862"/>
    <w:rsid w:val="004A4E10"/>
    <w:rsid w:val="004A51B0"/>
    <w:rsid w:val="004A5352"/>
    <w:rsid w:val="004A565E"/>
    <w:rsid w:val="004A59A4"/>
    <w:rsid w:val="004A6727"/>
    <w:rsid w:val="004A6981"/>
    <w:rsid w:val="004A6E06"/>
    <w:rsid w:val="004A73C9"/>
    <w:rsid w:val="004A7475"/>
    <w:rsid w:val="004A7F95"/>
    <w:rsid w:val="004B261D"/>
    <w:rsid w:val="004B35DD"/>
    <w:rsid w:val="004B37D0"/>
    <w:rsid w:val="004B4608"/>
    <w:rsid w:val="004B63B7"/>
    <w:rsid w:val="004C0FE6"/>
    <w:rsid w:val="004C1447"/>
    <w:rsid w:val="004C15CD"/>
    <w:rsid w:val="004C166F"/>
    <w:rsid w:val="004C262D"/>
    <w:rsid w:val="004C2758"/>
    <w:rsid w:val="004C3BDB"/>
    <w:rsid w:val="004C3CB6"/>
    <w:rsid w:val="004C4B56"/>
    <w:rsid w:val="004C57D7"/>
    <w:rsid w:val="004C586A"/>
    <w:rsid w:val="004C6802"/>
    <w:rsid w:val="004C6CB0"/>
    <w:rsid w:val="004C6DD3"/>
    <w:rsid w:val="004C6F5B"/>
    <w:rsid w:val="004C7132"/>
    <w:rsid w:val="004C725E"/>
    <w:rsid w:val="004C7285"/>
    <w:rsid w:val="004C73AB"/>
    <w:rsid w:val="004C77BC"/>
    <w:rsid w:val="004D032D"/>
    <w:rsid w:val="004D03B3"/>
    <w:rsid w:val="004D05E3"/>
    <w:rsid w:val="004D0729"/>
    <w:rsid w:val="004D10AE"/>
    <w:rsid w:val="004D13DA"/>
    <w:rsid w:val="004D176E"/>
    <w:rsid w:val="004D241E"/>
    <w:rsid w:val="004D2FB2"/>
    <w:rsid w:val="004D411E"/>
    <w:rsid w:val="004D427F"/>
    <w:rsid w:val="004D48AB"/>
    <w:rsid w:val="004D4B0C"/>
    <w:rsid w:val="004D591C"/>
    <w:rsid w:val="004D5B92"/>
    <w:rsid w:val="004D5ED0"/>
    <w:rsid w:val="004D6A22"/>
    <w:rsid w:val="004D6CA1"/>
    <w:rsid w:val="004D6F8E"/>
    <w:rsid w:val="004D7070"/>
    <w:rsid w:val="004D7151"/>
    <w:rsid w:val="004D7D6F"/>
    <w:rsid w:val="004E019A"/>
    <w:rsid w:val="004E05BE"/>
    <w:rsid w:val="004E08F2"/>
    <w:rsid w:val="004E0BF6"/>
    <w:rsid w:val="004E0D9C"/>
    <w:rsid w:val="004E10C4"/>
    <w:rsid w:val="004E1BC0"/>
    <w:rsid w:val="004E206A"/>
    <w:rsid w:val="004E2F50"/>
    <w:rsid w:val="004E33EB"/>
    <w:rsid w:val="004E345A"/>
    <w:rsid w:val="004E3F06"/>
    <w:rsid w:val="004E433E"/>
    <w:rsid w:val="004E4394"/>
    <w:rsid w:val="004E44AF"/>
    <w:rsid w:val="004E52D5"/>
    <w:rsid w:val="004E59C7"/>
    <w:rsid w:val="004E67BD"/>
    <w:rsid w:val="004E67CC"/>
    <w:rsid w:val="004E6BED"/>
    <w:rsid w:val="004E7CFB"/>
    <w:rsid w:val="004F0094"/>
    <w:rsid w:val="004F091C"/>
    <w:rsid w:val="004F1279"/>
    <w:rsid w:val="004F1517"/>
    <w:rsid w:val="004F18C6"/>
    <w:rsid w:val="004F1DD7"/>
    <w:rsid w:val="004F266B"/>
    <w:rsid w:val="004F2CF9"/>
    <w:rsid w:val="004F3163"/>
    <w:rsid w:val="004F3E76"/>
    <w:rsid w:val="004F4097"/>
    <w:rsid w:val="004F4B8F"/>
    <w:rsid w:val="004F5901"/>
    <w:rsid w:val="004F59D0"/>
    <w:rsid w:val="004F5B1F"/>
    <w:rsid w:val="004F5E09"/>
    <w:rsid w:val="004F644E"/>
    <w:rsid w:val="004F797F"/>
    <w:rsid w:val="004F7E38"/>
    <w:rsid w:val="004F7F3C"/>
    <w:rsid w:val="0050043A"/>
    <w:rsid w:val="00500875"/>
    <w:rsid w:val="005009E8"/>
    <w:rsid w:val="005011A8"/>
    <w:rsid w:val="0050193A"/>
    <w:rsid w:val="00501E03"/>
    <w:rsid w:val="00501E5A"/>
    <w:rsid w:val="00501EB7"/>
    <w:rsid w:val="00502668"/>
    <w:rsid w:val="0050276C"/>
    <w:rsid w:val="005027F7"/>
    <w:rsid w:val="0050367F"/>
    <w:rsid w:val="00503D09"/>
    <w:rsid w:val="00503FE5"/>
    <w:rsid w:val="00504068"/>
    <w:rsid w:val="00504889"/>
    <w:rsid w:val="00504F17"/>
    <w:rsid w:val="00505297"/>
    <w:rsid w:val="0050563F"/>
    <w:rsid w:val="0050650A"/>
    <w:rsid w:val="00507045"/>
    <w:rsid w:val="00507372"/>
    <w:rsid w:val="00507643"/>
    <w:rsid w:val="00507ABD"/>
    <w:rsid w:val="00507FA4"/>
    <w:rsid w:val="005100BF"/>
    <w:rsid w:val="00510424"/>
    <w:rsid w:val="00510505"/>
    <w:rsid w:val="00510D49"/>
    <w:rsid w:val="0051105A"/>
    <w:rsid w:val="00511CAA"/>
    <w:rsid w:val="00511D21"/>
    <w:rsid w:val="00512690"/>
    <w:rsid w:val="00512B7A"/>
    <w:rsid w:val="00512CCA"/>
    <w:rsid w:val="00512EFD"/>
    <w:rsid w:val="00513220"/>
    <w:rsid w:val="005134DC"/>
    <w:rsid w:val="0051352C"/>
    <w:rsid w:val="00513896"/>
    <w:rsid w:val="00513998"/>
    <w:rsid w:val="00514214"/>
    <w:rsid w:val="0051453F"/>
    <w:rsid w:val="005146B7"/>
    <w:rsid w:val="00514823"/>
    <w:rsid w:val="00514C0A"/>
    <w:rsid w:val="00514E08"/>
    <w:rsid w:val="00516294"/>
    <w:rsid w:val="00516640"/>
    <w:rsid w:val="00516987"/>
    <w:rsid w:val="00517097"/>
    <w:rsid w:val="00517439"/>
    <w:rsid w:val="005174ED"/>
    <w:rsid w:val="00517982"/>
    <w:rsid w:val="00517F8B"/>
    <w:rsid w:val="005202AA"/>
    <w:rsid w:val="00520894"/>
    <w:rsid w:val="00520A35"/>
    <w:rsid w:val="00520FFE"/>
    <w:rsid w:val="00521376"/>
    <w:rsid w:val="00521B62"/>
    <w:rsid w:val="00523995"/>
    <w:rsid w:val="00523BBD"/>
    <w:rsid w:val="005241B2"/>
    <w:rsid w:val="00524351"/>
    <w:rsid w:val="00524414"/>
    <w:rsid w:val="005244D3"/>
    <w:rsid w:val="00524A47"/>
    <w:rsid w:val="00524D1C"/>
    <w:rsid w:val="00525027"/>
    <w:rsid w:val="005265E5"/>
    <w:rsid w:val="005266E1"/>
    <w:rsid w:val="005268E4"/>
    <w:rsid w:val="00527307"/>
    <w:rsid w:val="00527637"/>
    <w:rsid w:val="00527E4A"/>
    <w:rsid w:val="00530122"/>
    <w:rsid w:val="00530202"/>
    <w:rsid w:val="00530617"/>
    <w:rsid w:val="00530B1B"/>
    <w:rsid w:val="00531C5E"/>
    <w:rsid w:val="0053266F"/>
    <w:rsid w:val="00532A52"/>
    <w:rsid w:val="00532FBE"/>
    <w:rsid w:val="00533D1D"/>
    <w:rsid w:val="00535772"/>
    <w:rsid w:val="005357E8"/>
    <w:rsid w:val="005360B6"/>
    <w:rsid w:val="0053616B"/>
    <w:rsid w:val="00536AB7"/>
    <w:rsid w:val="00540796"/>
    <w:rsid w:val="005408EA"/>
    <w:rsid w:val="00540B90"/>
    <w:rsid w:val="00540C01"/>
    <w:rsid w:val="00541566"/>
    <w:rsid w:val="00541618"/>
    <w:rsid w:val="005418F9"/>
    <w:rsid w:val="00541F2C"/>
    <w:rsid w:val="005422F4"/>
    <w:rsid w:val="00542595"/>
    <w:rsid w:val="005426BA"/>
    <w:rsid w:val="00542754"/>
    <w:rsid w:val="0054330F"/>
    <w:rsid w:val="00543654"/>
    <w:rsid w:val="005438BB"/>
    <w:rsid w:val="005439CF"/>
    <w:rsid w:val="00543AB5"/>
    <w:rsid w:val="005448D4"/>
    <w:rsid w:val="00544D52"/>
    <w:rsid w:val="005459D3"/>
    <w:rsid w:val="00545B7C"/>
    <w:rsid w:val="00545D4C"/>
    <w:rsid w:val="00545FC1"/>
    <w:rsid w:val="00546C0C"/>
    <w:rsid w:val="00547260"/>
    <w:rsid w:val="00547A02"/>
    <w:rsid w:val="00547A8E"/>
    <w:rsid w:val="00547E1E"/>
    <w:rsid w:val="00550163"/>
    <w:rsid w:val="00550BD7"/>
    <w:rsid w:val="00550FF4"/>
    <w:rsid w:val="00551A35"/>
    <w:rsid w:val="005520D7"/>
    <w:rsid w:val="005521BC"/>
    <w:rsid w:val="005531EF"/>
    <w:rsid w:val="00553C8A"/>
    <w:rsid w:val="00553F48"/>
    <w:rsid w:val="0055408C"/>
    <w:rsid w:val="00555289"/>
    <w:rsid w:val="0055532A"/>
    <w:rsid w:val="00557BE8"/>
    <w:rsid w:val="00560452"/>
    <w:rsid w:val="0056097F"/>
    <w:rsid w:val="00560E39"/>
    <w:rsid w:val="00560F12"/>
    <w:rsid w:val="00562076"/>
    <w:rsid w:val="005622D6"/>
    <w:rsid w:val="00562AD4"/>
    <w:rsid w:val="00563583"/>
    <w:rsid w:val="005635DB"/>
    <w:rsid w:val="00563722"/>
    <w:rsid w:val="005644D2"/>
    <w:rsid w:val="00564915"/>
    <w:rsid w:val="00565126"/>
    <w:rsid w:val="0056605B"/>
    <w:rsid w:val="005664D0"/>
    <w:rsid w:val="00566509"/>
    <w:rsid w:val="00566C96"/>
    <w:rsid w:val="0056736F"/>
    <w:rsid w:val="00567D1B"/>
    <w:rsid w:val="005705DB"/>
    <w:rsid w:val="005709EF"/>
    <w:rsid w:val="0057109F"/>
    <w:rsid w:val="00571971"/>
    <w:rsid w:val="005721D9"/>
    <w:rsid w:val="00572770"/>
    <w:rsid w:val="005727ED"/>
    <w:rsid w:val="0057299C"/>
    <w:rsid w:val="00572A16"/>
    <w:rsid w:val="00572D02"/>
    <w:rsid w:val="00572E68"/>
    <w:rsid w:val="00572F10"/>
    <w:rsid w:val="005731E7"/>
    <w:rsid w:val="00573836"/>
    <w:rsid w:val="00573C96"/>
    <w:rsid w:val="00574200"/>
    <w:rsid w:val="00574776"/>
    <w:rsid w:val="005747E8"/>
    <w:rsid w:val="00574ADD"/>
    <w:rsid w:val="00574BF4"/>
    <w:rsid w:val="00575FD0"/>
    <w:rsid w:val="00576547"/>
    <w:rsid w:val="005766D7"/>
    <w:rsid w:val="00576B8F"/>
    <w:rsid w:val="00576ED0"/>
    <w:rsid w:val="00576F87"/>
    <w:rsid w:val="00577B69"/>
    <w:rsid w:val="005800A3"/>
    <w:rsid w:val="00580FED"/>
    <w:rsid w:val="00581587"/>
    <w:rsid w:val="00581F5A"/>
    <w:rsid w:val="00582B82"/>
    <w:rsid w:val="00582EF6"/>
    <w:rsid w:val="00583464"/>
    <w:rsid w:val="00583A9B"/>
    <w:rsid w:val="00584A54"/>
    <w:rsid w:val="00584E20"/>
    <w:rsid w:val="00585A48"/>
    <w:rsid w:val="00585D80"/>
    <w:rsid w:val="00586A60"/>
    <w:rsid w:val="00587847"/>
    <w:rsid w:val="00587868"/>
    <w:rsid w:val="00587E0C"/>
    <w:rsid w:val="00591025"/>
    <w:rsid w:val="00591555"/>
    <w:rsid w:val="00592CDD"/>
    <w:rsid w:val="00592E85"/>
    <w:rsid w:val="00592F69"/>
    <w:rsid w:val="00593557"/>
    <w:rsid w:val="005935DB"/>
    <w:rsid w:val="0059385F"/>
    <w:rsid w:val="00593F48"/>
    <w:rsid w:val="005946F1"/>
    <w:rsid w:val="005950AF"/>
    <w:rsid w:val="00597E2F"/>
    <w:rsid w:val="005A02B7"/>
    <w:rsid w:val="005A07C9"/>
    <w:rsid w:val="005A10EF"/>
    <w:rsid w:val="005A12C1"/>
    <w:rsid w:val="005A12E3"/>
    <w:rsid w:val="005A1307"/>
    <w:rsid w:val="005A1548"/>
    <w:rsid w:val="005A371D"/>
    <w:rsid w:val="005A385F"/>
    <w:rsid w:val="005A4642"/>
    <w:rsid w:val="005A4851"/>
    <w:rsid w:val="005A4B6B"/>
    <w:rsid w:val="005A4FD0"/>
    <w:rsid w:val="005A5C02"/>
    <w:rsid w:val="005A61DF"/>
    <w:rsid w:val="005A6614"/>
    <w:rsid w:val="005A66D1"/>
    <w:rsid w:val="005A708D"/>
    <w:rsid w:val="005A7559"/>
    <w:rsid w:val="005A7587"/>
    <w:rsid w:val="005A788F"/>
    <w:rsid w:val="005B0942"/>
    <w:rsid w:val="005B15EF"/>
    <w:rsid w:val="005B1ADB"/>
    <w:rsid w:val="005B1BDC"/>
    <w:rsid w:val="005B1C58"/>
    <w:rsid w:val="005B342A"/>
    <w:rsid w:val="005B37AA"/>
    <w:rsid w:val="005B37B4"/>
    <w:rsid w:val="005B4418"/>
    <w:rsid w:val="005B49FC"/>
    <w:rsid w:val="005B4B65"/>
    <w:rsid w:val="005B5529"/>
    <w:rsid w:val="005B645D"/>
    <w:rsid w:val="005B663F"/>
    <w:rsid w:val="005B68B6"/>
    <w:rsid w:val="005B6B95"/>
    <w:rsid w:val="005B707A"/>
    <w:rsid w:val="005B7160"/>
    <w:rsid w:val="005B73A6"/>
    <w:rsid w:val="005B768C"/>
    <w:rsid w:val="005C072E"/>
    <w:rsid w:val="005C0EE2"/>
    <w:rsid w:val="005C1691"/>
    <w:rsid w:val="005C33DE"/>
    <w:rsid w:val="005C3571"/>
    <w:rsid w:val="005C3DAD"/>
    <w:rsid w:val="005C4C1F"/>
    <w:rsid w:val="005C4D87"/>
    <w:rsid w:val="005C5F97"/>
    <w:rsid w:val="005C6799"/>
    <w:rsid w:val="005C6E78"/>
    <w:rsid w:val="005C7036"/>
    <w:rsid w:val="005C7053"/>
    <w:rsid w:val="005D0181"/>
    <w:rsid w:val="005D1B22"/>
    <w:rsid w:val="005D1F87"/>
    <w:rsid w:val="005D247E"/>
    <w:rsid w:val="005D2797"/>
    <w:rsid w:val="005D2821"/>
    <w:rsid w:val="005D29AB"/>
    <w:rsid w:val="005D2AD9"/>
    <w:rsid w:val="005D487B"/>
    <w:rsid w:val="005D569E"/>
    <w:rsid w:val="005D6275"/>
    <w:rsid w:val="005D6A20"/>
    <w:rsid w:val="005D6BC4"/>
    <w:rsid w:val="005D75A8"/>
    <w:rsid w:val="005D7CA0"/>
    <w:rsid w:val="005D7F63"/>
    <w:rsid w:val="005D7FD7"/>
    <w:rsid w:val="005E01D6"/>
    <w:rsid w:val="005E058B"/>
    <w:rsid w:val="005E05EA"/>
    <w:rsid w:val="005E0D2C"/>
    <w:rsid w:val="005E0FBF"/>
    <w:rsid w:val="005E1A94"/>
    <w:rsid w:val="005E1E5E"/>
    <w:rsid w:val="005E1EC8"/>
    <w:rsid w:val="005E1F76"/>
    <w:rsid w:val="005E2578"/>
    <w:rsid w:val="005E2858"/>
    <w:rsid w:val="005E320C"/>
    <w:rsid w:val="005E3644"/>
    <w:rsid w:val="005E43D7"/>
    <w:rsid w:val="005E43D9"/>
    <w:rsid w:val="005E4D2B"/>
    <w:rsid w:val="005E4DFD"/>
    <w:rsid w:val="005E4E92"/>
    <w:rsid w:val="005E5326"/>
    <w:rsid w:val="005E549E"/>
    <w:rsid w:val="005E5E26"/>
    <w:rsid w:val="005E5F05"/>
    <w:rsid w:val="005E60DE"/>
    <w:rsid w:val="005E621A"/>
    <w:rsid w:val="005E6788"/>
    <w:rsid w:val="005E7894"/>
    <w:rsid w:val="005E78D5"/>
    <w:rsid w:val="005F048A"/>
    <w:rsid w:val="005F0DF2"/>
    <w:rsid w:val="005F1192"/>
    <w:rsid w:val="005F1223"/>
    <w:rsid w:val="005F1569"/>
    <w:rsid w:val="005F1684"/>
    <w:rsid w:val="005F186F"/>
    <w:rsid w:val="005F2A09"/>
    <w:rsid w:val="005F30AF"/>
    <w:rsid w:val="005F3287"/>
    <w:rsid w:val="005F354D"/>
    <w:rsid w:val="005F36B8"/>
    <w:rsid w:val="005F41E6"/>
    <w:rsid w:val="005F4F63"/>
    <w:rsid w:val="005F50F8"/>
    <w:rsid w:val="005F57CD"/>
    <w:rsid w:val="005F5C60"/>
    <w:rsid w:val="005F65D7"/>
    <w:rsid w:val="005F7277"/>
    <w:rsid w:val="005F7432"/>
    <w:rsid w:val="0060015E"/>
    <w:rsid w:val="00600FF2"/>
    <w:rsid w:val="0060107B"/>
    <w:rsid w:val="00601744"/>
    <w:rsid w:val="00601EEB"/>
    <w:rsid w:val="0060324A"/>
    <w:rsid w:val="0060397E"/>
    <w:rsid w:val="00603B00"/>
    <w:rsid w:val="00603DF2"/>
    <w:rsid w:val="00604586"/>
    <w:rsid w:val="00604A3E"/>
    <w:rsid w:val="00604E98"/>
    <w:rsid w:val="006052EB"/>
    <w:rsid w:val="00605593"/>
    <w:rsid w:val="00607A47"/>
    <w:rsid w:val="00607D49"/>
    <w:rsid w:val="00607E9C"/>
    <w:rsid w:val="00610586"/>
    <w:rsid w:val="00610A0E"/>
    <w:rsid w:val="00610D9A"/>
    <w:rsid w:val="00611ED2"/>
    <w:rsid w:val="0061253F"/>
    <w:rsid w:val="00613239"/>
    <w:rsid w:val="006133AF"/>
    <w:rsid w:val="00614D9F"/>
    <w:rsid w:val="00615CF7"/>
    <w:rsid w:val="0061600A"/>
    <w:rsid w:val="00616417"/>
    <w:rsid w:val="0061657A"/>
    <w:rsid w:val="00616CA8"/>
    <w:rsid w:val="00617620"/>
    <w:rsid w:val="006177C3"/>
    <w:rsid w:val="00617CB1"/>
    <w:rsid w:val="00620141"/>
    <w:rsid w:val="006203C2"/>
    <w:rsid w:val="0062090B"/>
    <w:rsid w:val="00620CCA"/>
    <w:rsid w:val="0062159C"/>
    <w:rsid w:val="00622077"/>
    <w:rsid w:val="00622880"/>
    <w:rsid w:val="00622A7B"/>
    <w:rsid w:val="00623647"/>
    <w:rsid w:val="00623D4B"/>
    <w:rsid w:val="006246EF"/>
    <w:rsid w:val="00624C5D"/>
    <w:rsid w:val="00625599"/>
    <w:rsid w:val="00625C14"/>
    <w:rsid w:val="0062648E"/>
    <w:rsid w:val="00627AF1"/>
    <w:rsid w:val="00627B99"/>
    <w:rsid w:val="00627E79"/>
    <w:rsid w:val="00631EC7"/>
    <w:rsid w:val="006335B0"/>
    <w:rsid w:val="00633D19"/>
    <w:rsid w:val="00633D42"/>
    <w:rsid w:val="00634056"/>
    <w:rsid w:val="0063414C"/>
    <w:rsid w:val="0063472A"/>
    <w:rsid w:val="00634CAD"/>
    <w:rsid w:val="00634E82"/>
    <w:rsid w:val="00636368"/>
    <w:rsid w:val="006363FA"/>
    <w:rsid w:val="00636979"/>
    <w:rsid w:val="006372D5"/>
    <w:rsid w:val="00637828"/>
    <w:rsid w:val="006379A7"/>
    <w:rsid w:val="00637EA1"/>
    <w:rsid w:val="00640237"/>
    <w:rsid w:val="0064124F"/>
    <w:rsid w:val="00641AB6"/>
    <w:rsid w:val="00642173"/>
    <w:rsid w:val="00642997"/>
    <w:rsid w:val="006436D0"/>
    <w:rsid w:val="00643F7D"/>
    <w:rsid w:val="0064437A"/>
    <w:rsid w:val="00645DD3"/>
    <w:rsid w:val="0064650B"/>
    <w:rsid w:val="00646641"/>
    <w:rsid w:val="00646B2F"/>
    <w:rsid w:val="00646C99"/>
    <w:rsid w:val="00646FF5"/>
    <w:rsid w:val="00647366"/>
    <w:rsid w:val="00647CD3"/>
    <w:rsid w:val="0065022E"/>
    <w:rsid w:val="00650398"/>
    <w:rsid w:val="0065047A"/>
    <w:rsid w:val="006510E7"/>
    <w:rsid w:val="006514DB"/>
    <w:rsid w:val="00651D1E"/>
    <w:rsid w:val="006524CF"/>
    <w:rsid w:val="00652AB2"/>
    <w:rsid w:val="00654F65"/>
    <w:rsid w:val="006556B0"/>
    <w:rsid w:val="006557F4"/>
    <w:rsid w:val="0065588A"/>
    <w:rsid w:val="00655983"/>
    <w:rsid w:val="00656065"/>
    <w:rsid w:val="006571CF"/>
    <w:rsid w:val="0065748E"/>
    <w:rsid w:val="00657934"/>
    <w:rsid w:val="00657A63"/>
    <w:rsid w:val="00660467"/>
    <w:rsid w:val="006604AF"/>
    <w:rsid w:val="006612B7"/>
    <w:rsid w:val="00661497"/>
    <w:rsid w:val="00661503"/>
    <w:rsid w:val="006617A5"/>
    <w:rsid w:val="00661EB0"/>
    <w:rsid w:val="0066235E"/>
    <w:rsid w:val="00662523"/>
    <w:rsid w:val="00662B0D"/>
    <w:rsid w:val="006631F5"/>
    <w:rsid w:val="00663E53"/>
    <w:rsid w:val="00663E9E"/>
    <w:rsid w:val="006644CF"/>
    <w:rsid w:val="006645B8"/>
    <w:rsid w:val="00665461"/>
    <w:rsid w:val="00666308"/>
    <w:rsid w:val="00666BB7"/>
    <w:rsid w:val="00666C4C"/>
    <w:rsid w:val="00667518"/>
    <w:rsid w:val="00670342"/>
    <w:rsid w:val="00670D33"/>
    <w:rsid w:val="0067157C"/>
    <w:rsid w:val="00671AFA"/>
    <w:rsid w:val="006722F6"/>
    <w:rsid w:val="006725F0"/>
    <w:rsid w:val="00672A00"/>
    <w:rsid w:val="00672A27"/>
    <w:rsid w:val="00674135"/>
    <w:rsid w:val="00674DCE"/>
    <w:rsid w:val="00675104"/>
    <w:rsid w:val="00675A8E"/>
    <w:rsid w:val="00675C6F"/>
    <w:rsid w:val="00675D1F"/>
    <w:rsid w:val="00675F27"/>
    <w:rsid w:val="00676955"/>
    <w:rsid w:val="00676D3E"/>
    <w:rsid w:val="00677048"/>
    <w:rsid w:val="0068046C"/>
    <w:rsid w:val="006812C0"/>
    <w:rsid w:val="00681732"/>
    <w:rsid w:val="00681B7E"/>
    <w:rsid w:val="006828B7"/>
    <w:rsid w:val="00683085"/>
    <w:rsid w:val="0068311C"/>
    <w:rsid w:val="0068387C"/>
    <w:rsid w:val="00683942"/>
    <w:rsid w:val="00683ACE"/>
    <w:rsid w:val="00683E1A"/>
    <w:rsid w:val="006844C6"/>
    <w:rsid w:val="0068574F"/>
    <w:rsid w:val="00686222"/>
    <w:rsid w:val="00686C68"/>
    <w:rsid w:val="00686D9B"/>
    <w:rsid w:val="00686F04"/>
    <w:rsid w:val="00686F62"/>
    <w:rsid w:val="00687043"/>
    <w:rsid w:val="006872FC"/>
    <w:rsid w:val="00690B64"/>
    <w:rsid w:val="00691F51"/>
    <w:rsid w:val="00692328"/>
    <w:rsid w:val="0069241A"/>
    <w:rsid w:val="00693207"/>
    <w:rsid w:val="006935B9"/>
    <w:rsid w:val="00694848"/>
    <w:rsid w:val="00694C3D"/>
    <w:rsid w:val="00695224"/>
    <w:rsid w:val="00695584"/>
    <w:rsid w:val="00695AF5"/>
    <w:rsid w:val="00696667"/>
    <w:rsid w:val="00696EA4"/>
    <w:rsid w:val="00697A24"/>
    <w:rsid w:val="00697C1D"/>
    <w:rsid w:val="006A0902"/>
    <w:rsid w:val="006A0BAC"/>
    <w:rsid w:val="006A0DC0"/>
    <w:rsid w:val="006A1022"/>
    <w:rsid w:val="006A104A"/>
    <w:rsid w:val="006A158C"/>
    <w:rsid w:val="006A189A"/>
    <w:rsid w:val="006A1938"/>
    <w:rsid w:val="006A1BD9"/>
    <w:rsid w:val="006A1CEB"/>
    <w:rsid w:val="006A1D13"/>
    <w:rsid w:val="006A20E5"/>
    <w:rsid w:val="006A231D"/>
    <w:rsid w:val="006A256B"/>
    <w:rsid w:val="006A28D6"/>
    <w:rsid w:val="006A2F27"/>
    <w:rsid w:val="006A333F"/>
    <w:rsid w:val="006A33B2"/>
    <w:rsid w:val="006A38CC"/>
    <w:rsid w:val="006A3E23"/>
    <w:rsid w:val="006A48DE"/>
    <w:rsid w:val="006A4A68"/>
    <w:rsid w:val="006A4DFD"/>
    <w:rsid w:val="006A5013"/>
    <w:rsid w:val="006A5734"/>
    <w:rsid w:val="006A610B"/>
    <w:rsid w:val="006A6598"/>
    <w:rsid w:val="006A6C76"/>
    <w:rsid w:val="006A75E1"/>
    <w:rsid w:val="006A7DA2"/>
    <w:rsid w:val="006B07AC"/>
    <w:rsid w:val="006B09B1"/>
    <w:rsid w:val="006B1298"/>
    <w:rsid w:val="006B1923"/>
    <w:rsid w:val="006B1CFA"/>
    <w:rsid w:val="006B260C"/>
    <w:rsid w:val="006B2E18"/>
    <w:rsid w:val="006B30BA"/>
    <w:rsid w:val="006B38D4"/>
    <w:rsid w:val="006B3D4C"/>
    <w:rsid w:val="006B445B"/>
    <w:rsid w:val="006B541F"/>
    <w:rsid w:val="006B5DC9"/>
    <w:rsid w:val="006B65F2"/>
    <w:rsid w:val="006B66F8"/>
    <w:rsid w:val="006B6C8C"/>
    <w:rsid w:val="006B6CDF"/>
    <w:rsid w:val="006B7604"/>
    <w:rsid w:val="006B77FE"/>
    <w:rsid w:val="006B7869"/>
    <w:rsid w:val="006B7A32"/>
    <w:rsid w:val="006C0088"/>
    <w:rsid w:val="006C0CC8"/>
    <w:rsid w:val="006C19AD"/>
    <w:rsid w:val="006C1D0E"/>
    <w:rsid w:val="006C1FFC"/>
    <w:rsid w:val="006C2192"/>
    <w:rsid w:val="006C2227"/>
    <w:rsid w:val="006C2237"/>
    <w:rsid w:val="006C2A33"/>
    <w:rsid w:val="006C3391"/>
    <w:rsid w:val="006C3957"/>
    <w:rsid w:val="006C3C53"/>
    <w:rsid w:val="006C3CBA"/>
    <w:rsid w:val="006C3E30"/>
    <w:rsid w:val="006C3E96"/>
    <w:rsid w:val="006C4923"/>
    <w:rsid w:val="006C4AC7"/>
    <w:rsid w:val="006C511D"/>
    <w:rsid w:val="006C5F50"/>
    <w:rsid w:val="006D0435"/>
    <w:rsid w:val="006D05EF"/>
    <w:rsid w:val="006D0878"/>
    <w:rsid w:val="006D0BDD"/>
    <w:rsid w:val="006D0BE5"/>
    <w:rsid w:val="006D0CB8"/>
    <w:rsid w:val="006D0CDA"/>
    <w:rsid w:val="006D150F"/>
    <w:rsid w:val="006D231F"/>
    <w:rsid w:val="006D23E7"/>
    <w:rsid w:val="006D2762"/>
    <w:rsid w:val="006D2A1D"/>
    <w:rsid w:val="006D32D2"/>
    <w:rsid w:val="006D3E7B"/>
    <w:rsid w:val="006D41C9"/>
    <w:rsid w:val="006D48F6"/>
    <w:rsid w:val="006D5920"/>
    <w:rsid w:val="006D59CA"/>
    <w:rsid w:val="006D6A01"/>
    <w:rsid w:val="006D7DAF"/>
    <w:rsid w:val="006E0126"/>
    <w:rsid w:val="006E0848"/>
    <w:rsid w:val="006E0FCC"/>
    <w:rsid w:val="006E1450"/>
    <w:rsid w:val="006E28B4"/>
    <w:rsid w:val="006E3494"/>
    <w:rsid w:val="006E42A9"/>
    <w:rsid w:val="006E4C76"/>
    <w:rsid w:val="006E556E"/>
    <w:rsid w:val="006E5C0D"/>
    <w:rsid w:val="006E67A9"/>
    <w:rsid w:val="006E6FF8"/>
    <w:rsid w:val="006E7584"/>
    <w:rsid w:val="006F0B48"/>
    <w:rsid w:val="006F0C51"/>
    <w:rsid w:val="006F1710"/>
    <w:rsid w:val="006F1D0E"/>
    <w:rsid w:val="006F1F52"/>
    <w:rsid w:val="006F2368"/>
    <w:rsid w:val="006F2601"/>
    <w:rsid w:val="006F2B93"/>
    <w:rsid w:val="006F2C93"/>
    <w:rsid w:val="006F4258"/>
    <w:rsid w:val="006F45A3"/>
    <w:rsid w:val="006F4A3B"/>
    <w:rsid w:val="006F4DE0"/>
    <w:rsid w:val="006F525D"/>
    <w:rsid w:val="006F6278"/>
    <w:rsid w:val="006F7BB8"/>
    <w:rsid w:val="006F7F58"/>
    <w:rsid w:val="00700FC6"/>
    <w:rsid w:val="00701022"/>
    <w:rsid w:val="00701092"/>
    <w:rsid w:val="007016CB"/>
    <w:rsid w:val="0070184D"/>
    <w:rsid w:val="00701876"/>
    <w:rsid w:val="00701DDF"/>
    <w:rsid w:val="00702247"/>
    <w:rsid w:val="007033F1"/>
    <w:rsid w:val="00704AA2"/>
    <w:rsid w:val="00704B50"/>
    <w:rsid w:val="00704CBD"/>
    <w:rsid w:val="0070597A"/>
    <w:rsid w:val="007059E9"/>
    <w:rsid w:val="00705DC2"/>
    <w:rsid w:val="0070655B"/>
    <w:rsid w:val="007070B4"/>
    <w:rsid w:val="00707536"/>
    <w:rsid w:val="00707856"/>
    <w:rsid w:val="00707DE3"/>
    <w:rsid w:val="00710292"/>
    <w:rsid w:val="00713474"/>
    <w:rsid w:val="00713861"/>
    <w:rsid w:val="00714054"/>
    <w:rsid w:val="00714083"/>
    <w:rsid w:val="00714146"/>
    <w:rsid w:val="00716559"/>
    <w:rsid w:val="00716C9E"/>
    <w:rsid w:val="00717E16"/>
    <w:rsid w:val="007205F0"/>
    <w:rsid w:val="0072127E"/>
    <w:rsid w:val="007215B3"/>
    <w:rsid w:val="00721E68"/>
    <w:rsid w:val="0072271B"/>
    <w:rsid w:val="00722DF7"/>
    <w:rsid w:val="00723C90"/>
    <w:rsid w:val="007240BD"/>
    <w:rsid w:val="0072460F"/>
    <w:rsid w:val="00724702"/>
    <w:rsid w:val="007247CF"/>
    <w:rsid w:val="00724AD9"/>
    <w:rsid w:val="007258FF"/>
    <w:rsid w:val="00725EFC"/>
    <w:rsid w:val="00725FAB"/>
    <w:rsid w:val="007264FB"/>
    <w:rsid w:val="00727237"/>
    <w:rsid w:val="007272DA"/>
    <w:rsid w:val="007274F7"/>
    <w:rsid w:val="00730966"/>
    <w:rsid w:val="00730B23"/>
    <w:rsid w:val="00731614"/>
    <w:rsid w:val="007325D2"/>
    <w:rsid w:val="00732C34"/>
    <w:rsid w:val="007330F1"/>
    <w:rsid w:val="00733153"/>
    <w:rsid w:val="007338D1"/>
    <w:rsid w:val="00733B22"/>
    <w:rsid w:val="007347A2"/>
    <w:rsid w:val="00734D7F"/>
    <w:rsid w:val="00734F3D"/>
    <w:rsid w:val="007356DE"/>
    <w:rsid w:val="007356EE"/>
    <w:rsid w:val="00735C72"/>
    <w:rsid w:val="007362C7"/>
    <w:rsid w:val="00736789"/>
    <w:rsid w:val="007367CA"/>
    <w:rsid w:val="00736C6D"/>
    <w:rsid w:val="007377B5"/>
    <w:rsid w:val="00737C0A"/>
    <w:rsid w:val="00737CAB"/>
    <w:rsid w:val="00740187"/>
    <w:rsid w:val="0074160D"/>
    <w:rsid w:val="00741C58"/>
    <w:rsid w:val="00741C5E"/>
    <w:rsid w:val="00743262"/>
    <w:rsid w:val="007444BF"/>
    <w:rsid w:val="007444FA"/>
    <w:rsid w:val="0074533B"/>
    <w:rsid w:val="00745BD2"/>
    <w:rsid w:val="007460BF"/>
    <w:rsid w:val="00746164"/>
    <w:rsid w:val="007463BC"/>
    <w:rsid w:val="00746A22"/>
    <w:rsid w:val="00746C60"/>
    <w:rsid w:val="00746F94"/>
    <w:rsid w:val="00746FB8"/>
    <w:rsid w:val="00746FC8"/>
    <w:rsid w:val="00747235"/>
    <w:rsid w:val="00747C97"/>
    <w:rsid w:val="00747CEF"/>
    <w:rsid w:val="0075028B"/>
    <w:rsid w:val="00750D85"/>
    <w:rsid w:val="00750D90"/>
    <w:rsid w:val="00751041"/>
    <w:rsid w:val="00751196"/>
    <w:rsid w:val="00752B74"/>
    <w:rsid w:val="00752DC9"/>
    <w:rsid w:val="00752E07"/>
    <w:rsid w:val="00752FEA"/>
    <w:rsid w:val="00753B52"/>
    <w:rsid w:val="00753BD5"/>
    <w:rsid w:val="007540D2"/>
    <w:rsid w:val="0075457C"/>
    <w:rsid w:val="00755213"/>
    <w:rsid w:val="0075523F"/>
    <w:rsid w:val="00755E79"/>
    <w:rsid w:val="00756916"/>
    <w:rsid w:val="00756A61"/>
    <w:rsid w:val="00756F86"/>
    <w:rsid w:val="0075735D"/>
    <w:rsid w:val="0075777A"/>
    <w:rsid w:val="0076013E"/>
    <w:rsid w:val="00760921"/>
    <w:rsid w:val="0076128E"/>
    <w:rsid w:val="00761A68"/>
    <w:rsid w:val="0076266C"/>
    <w:rsid w:val="0076334C"/>
    <w:rsid w:val="007645ED"/>
    <w:rsid w:val="00765002"/>
    <w:rsid w:val="007675F7"/>
    <w:rsid w:val="0077091F"/>
    <w:rsid w:val="00771266"/>
    <w:rsid w:val="00771B21"/>
    <w:rsid w:val="00772036"/>
    <w:rsid w:val="0077203D"/>
    <w:rsid w:val="00772114"/>
    <w:rsid w:val="00772150"/>
    <w:rsid w:val="007721E3"/>
    <w:rsid w:val="00772B31"/>
    <w:rsid w:val="00773546"/>
    <w:rsid w:val="00773B71"/>
    <w:rsid w:val="00774BE0"/>
    <w:rsid w:val="00775496"/>
    <w:rsid w:val="00775850"/>
    <w:rsid w:val="00775910"/>
    <w:rsid w:val="0077637F"/>
    <w:rsid w:val="00776534"/>
    <w:rsid w:val="007768AE"/>
    <w:rsid w:val="00776F7B"/>
    <w:rsid w:val="00777322"/>
    <w:rsid w:val="00777C1D"/>
    <w:rsid w:val="00777C6B"/>
    <w:rsid w:val="00780CFA"/>
    <w:rsid w:val="00780D57"/>
    <w:rsid w:val="00780F67"/>
    <w:rsid w:val="007811DE"/>
    <w:rsid w:val="007818C5"/>
    <w:rsid w:val="00781EF6"/>
    <w:rsid w:val="00781F40"/>
    <w:rsid w:val="00782CE7"/>
    <w:rsid w:val="00782F5F"/>
    <w:rsid w:val="00783824"/>
    <w:rsid w:val="0078406F"/>
    <w:rsid w:val="00784306"/>
    <w:rsid w:val="00784450"/>
    <w:rsid w:val="00784DDD"/>
    <w:rsid w:val="0078528C"/>
    <w:rsid w:val="00785434"/>
    <w:rsid w:val="007854AB"/>
    <w:rsid w:val="00785789"/>
    <w:rsid w:val="007857B5"/>
    <w:rsid w:val="00785923"/>
    <w:rsid w:val="00785F9C"/>
    <w:rsid w:val="007860FC"/>
    <w:rsid w:val="00786D03"/>
    <w:rsid w:val="00786EFE"/>
    <w:rsid w:val="007874E8"/>
    <w:rsid w:val="00787E46"/>
    <w:rsid w:val="00790248"/>
    <w:rsid w:val="00790C65"/>
    <w:rsid w:val="007914C4"/>
    <w:rsid w:val="00791B4E"/>
    <w:rsid w:val="0079289A"/>
    <w:rsid w:val="007929D3"/>
    <w:rsid w:val="00792DF5"/>
    <w:rsid w:val="0079538B"/>
    <w:rsid w:val="0079543C"/>
    <w:rsid w:val="00795707"/>
    <w:rsid w:val="007958A2"/>
    <w:rsid w:val="00795A32"/>
    <w:rsid w:val="00795C4E"/>
    <w:rsid w:val="00796150"/>
    <w:rsid w:val="007970DC"/>
    <w:rsid w:val="00797438"/>
    <w:rsid w:val="00797A25"/>
    <w:rsid w:val="007A03B1"/>
    <w:rsid w:val="007A0520"/>
    <w:rsid w:val="007A0605"/>
    <w:rsid w:val="007A09DF"/>
    <w:rsid w:val="007A0E2F"/>
    <w:rsid w:val="007A10E6"/>
    <w:rsid w:val="007A1136"/>
    <w:rsid w:val="007A20EA"/>
    <w:rsid w:val="007A241F"/>
    <w:rsid w:val="007A26FB"/>
    <w:rsid w:val="007A2B5B"/>
    <w:rsid w:val="007A3506"/>
    <w:rsid w:val="007A372A"/>
    <w:rsid w:val="007A3BD1"/>
    <w:rsid w:val="007A4153"/>
    <w:rsid w:val="007A46C9"/>
    <w:rsid w:val="007A51CA"/>
    <w:rsid w:val="007A530D"/>
    <w:rsid w:val="007A5CE6"/>
    <w:rsid w:val="007A6113"/>
    <w:rsid w:val="007A6DFA"/>
    <w:rsid w:val="007A7B86"/>
    <w:rsid w:val="007B081D"/>
    <w:rsid w:val="007B1DED"/>
    <w:rsid w:val="007B3EEC"/>
    <w:rsid w:val="007B3F83"/>
    <w:rsid w:val="007B3FFF"/>
    <w:rsid w:val="007B47BA"/>
    <w:rsid w:val="007B4B17"/>
    <w:rsid w:val="007B62F5"/>
    <w:rsid w:val="007B7652"/>
    <w:rsid w:val="007B7ACF"/>
    <w:rsid w:val="007C07D2"/>
    <w:rsid w:val="007C0C41"/>
    <w:rsid w:val="007C0E51"/>
    <w:rsid w:val="007C0F7B"/>
    <w:rsid w:val="007C12FC"/>
    <w:rsid w:val="007C1A56"/>
    <w:rsid w:val="007C22A2"/>
    <w:rsid w:val="007C2322"/>
    <w:rsid w:val="007C2370"/>
    <w:rsid w:val="007C26B9"/>
    <w:rsid w:val="007C37D2"/>
    <w:rsid w:val="007C4B16"/>
    <w:rsid w:val="007C573D"/>
    <w:rsid w:val="007C5BAA"/>
    <w:rsid w:val="007C5EB7"/>
    <w:rsid w:val="007C79CF"/>
    <w:rsid w:val="007C7BAE"/>
    <w:rsid w:val="007D02AD"/>
    <w:rsid w:val="007D04E6"/>
    <w:rsid w:val="007D06EE"/>
    <w:rsid w:val="007D0BF1"/>
    <w:rsid w:val="007D0D57"/>
    <w:rsid w:val="007D1936"/>
    <w:rsid w:val="007D1D33"/>
    <w:rsid w:val="007D2640"/>
    <w:rsid w:val="007D2656"/>
    <w:rsid w:val="007D27C9"/>
    <w:rsid w:val="007D2D2D"/>
    <w:rsid w:val="007D2FDA"/>
    <w:rsid w:val="007D3048"/>
    <w:rsid w:val="007D3809"/>
    <w:rsid w:val="007D3ABD"/>
    <w:rsid w:val="007D45FE"/>
    <w:rsid w:val="007D4A85"/>
    <w:rsid w:val="007D4BBF"/>
    <w:rsid w:val="007D52F4"/>
    <w:rsid w:val="007D53E8"/>
    <w:rsid w:val="007D5CFE"/>
    <w:rsid w:val="007D5FFC"/>
    <w:rsid w:val="007D7965"/>
    <w:rsid w:val="007E03E4"/>
    <w:rsid w:val="007E0EDD"/>
    <w:rsid w:val="007E0F1F"/>
    <w:rsid w:val="007E1165"/>
    <w:rsid w:val="007E1365"/>
    <w:rsid w:val="007E1EBF"/>
    <w:rsid w:val="007E218F"/>
    <w:rsid w:val="007E21CA"/>
    <w:rsid w:val="007E24F9"/>
    <w:rsid w:val="007E2D10"/>
    <w:rsid w:val="007E31D2"/>
    <w:rsid w:val="007E3300"/>
    <w:rsid w:val="007E3899"/>
    <w:rsid w:val="007E429F"/>
    <w:rsid w:val="007E4431"/>
    <w:rsid w:val="007E479E"/>
    <w:rsid w:val="007E4DF2"/>
    <w:rsid w:val="007E5533"/>
    <w:rsid w:val="007E5555"/>
    <w:rsid w:val="007E5691"/>
    <w:rsid w:val="007E56DD"/>
    <w:rsid w:val="007E614B"/>
    <w:rsid w:val="007E6353"/>
    <w:rsid w:val="007E637E"/>
    <w:rsid w:val="007E6C96"/>
    <w:rsid w:val="007E7BB8"/>
    <w:rsid w:val="007E7BEA"/>
    <w:rsid w:val="007F0400"/>
    <w:rsid w:val="007F040C"/>
    <w:rsid w:val="007F068D"/>
    <w:rsid w:val="007F0A9F"/>
    <w:rsid w:val="007F12BA"/>
    <w:rsid w:val="007F1B06"/>
    <w:rsid w:val="007F215B"/>
    <w:rsid w:val="007F268D"/>
    <w:rsid w:val="007F2907"/>
    <w:rsid w:val="007F2930"/>
    <w:rsid w:val="007F2AD8"/>
    <w:rsid w:val="007F2BEA"/>
    <w:rsid w:val="007F345B"/>
    <w:rsid w:val="007F36BA"/>
    <w:rsid w:val="007F3919"/>
    <w:rsid w:val="007F497F"/>
    <w:rsid w:val="007F5124"/>
    <w:rsid w:val="007F53C0"/>
    <w:rsid w:val="007F577C"/>
    <w:rsid w:val="007F6A3A"/>
    <w:rsid w:val="007F6AC2"/>
    <w:rsid w:val="00800E47"/>
    <w:rsid w:val="00801AB1"/>
    <w:rsid w:val="00802383"/>
    <w:rsid w:val="008024E5"/>
    <w:rsid w:val="00802C82"/>
    <w:rsid w:val="008033B8"/>
    <w:rsid w:val="008033C1"/>
    <w:rsid w:val="00803689"/>
    <w:rsid w:val="00803D71"/>
    <w:rsid w:val="00803DDC"/>
    <w:rsid w:val="00803EBA"/>
    <w:rsid w:val="0080498C"/>
    <w:rsid w:val="008049DB"/>
    <w:rsid w:val="008054B4"/>
    <w:rsid w:val="0080557B"/>
    <w:rsid w:val="00805B7B"/>
    <w:rsid w:val="00805D34"/>
    <w:rsid w:val="00806393"/>
    <w:rsid w:val="00806FF0"/>
    <w:rsid w:val="00810A80"/>
    <w:rsid w:val="00811009"/>
    <w:rsid w:val="00811082"/>
    <w:rsid w:val="00812CAB"/>
    <w:rsid w:val="00813405"/>
    <w:rsid w:val="0081357E"/>
    <w:rsid w:val="00813C9D"/>
    <w:rsid w:val="00814F99"/>
    <w:rsid w:val="008155EC"/>
    <w:rsid w:val="00815C51"/>
    <w:rsid w:val="00816062"/>
    <w:rsid w:val="008169BD"/>
    <w:rsid w:val="00816BEF"/>
    <w:rsid w:val="00816D29"/>
    <w:rsid w:val="008179EA"/>
    <w:rsid w:val="00817F99"/>
    <w:rsid w:val="0082025A"/>
    <w:rsid w:val="008207E2"/>
    <w:rsid w:val="0082096A"/>
    <w:rsid w:val="00820DEF"/>
    <w:rsid w:val="008210EA"/>
    <w:rsid w:val="00821B46"/>
    <w:rsid w:val="008222AD"/>
    <w:rsid w:val="00822512"/>
    <w:rsid w:val="00822561"/>
    <w:rsid w:val="008225F9"/>
    <w:rsid w:val="00822D3C"/>
    <w:rsid w:val="00822FFE"/>
    <w:rsid w:val="008230A0"/>
    <w:rsid w:val="00823691"/>
    <w:rsid w:val="008239AF"/>
    <w:rsid w:val="00823F26"/>
    <w:rsid w:val="00824448"/>
    <w:rsid w:val="00824A7C"/>
    <w:rsid w:val="0082530D"/>
    <w:rsid w:val="00825530"/>
    <w:rsid w:val="00827280"/>
    <w:rsid w:val="008275A6"/>
    <w:rsid w:val="00827773"/>
    <w:rsid w:val="00827B06"/>
    <w:rsid w:val="00827E2A"/>
    <w:rsid w:val="00830148"/>
    <w:rsid w:val="00830A50"/>
    <w:rsid w:val="00830AF2"/>
    <w:rsid w:val="00830BFC"/>
    <w:rsid w:val="00830D20"/>
    <w:rsid w:val="00830EAB"/>
    <w:rsid w:val="008310D2"/>
    <w:rsid w:val="00831F24"/>
    <w:rsid w:val="00832458"/>
    <w:rsid w:val="00832573"/>
    <w:rsid w:val="00832601"/>
    <w:rsid w:val="00832DD9"/>
    <w:rsid w:val="00833045"/>
    <w:rsid w:val="0083478D"/>
    <w:rsid w:val="0083687A"/>
    <w:rsid w:val="008368D4"/>
    <w:rsid w:val="0083775C"/>
    <w:rsid w:val="008400CE"/>
    <w:rsid w:val="00841487"/>
    <w:rsid w:val="0084170D"/>
    <w:rsid w:val="008425E8"/>
    <w:rsid w:val="00842ACC"/>
    <w:rsid w:val="00842BD7"/>
    <w:rsid w:val="008430B9"/>
    <w:rsid w:val="008443F1"/>
    <w:rsid w:val="00844AC8"/>
    <w:rsid w:val="0084510F"/>
    <w:rsid w:val="0084544D"/>
    <w:rsid w:val="008454E1"/>
    <w:rsid w:val="00845E68"/>
    <w:rsid w:val="008460C4"/>
    <w:rsid w:val="00846367"/>
    <w:rsid w:val="008469B2"/>
    <w:rsid w:val="00847032"/>
    <w:rsid w:val="008472DB"/>
    <w:rsid w:val="008476CA"/>
    <w:rsid w:val="00850E12"/>
    <w:rsid w:val="00850E57"/>
    <w:rsid w:val="0085101E"/>
    <w:rsid w:val="00852470"/>
    <w:rsid w:val="008524EA"/>
    <w:rsid w:val="0085254F"/>
    <w:rsid w:val="00852846"/>
    <w:rsid w:val="008538E8"/>
    <w:rsid w:val="00854CBF"/>
    <w:rsid w:val="00855C0E"/>
    <w:rsid w:val="00855CB8"/>
    <w:rsid w:val="00856419"/>
    <w:rsid w:val="00856618"/>
    <w:rsid w:val="008566CA"/>
    <w:rsid w:val="0085682D"/>
    <w:rsid w:val="008568C5"/>
    <w:rsid w:val="00856B2E"/>
    <w:rsid w:val="008576E8"/>
    <w:rsid w:val="008610C6"/>
    <w:rsid w:val="00861804"/>
    <w:rsid w:val="00862584"/>
    <w:rsid w:val="00862D18"/>
    <w:rsid w:val="0086305F"/>
    <w:rsid w:val="008632E4"/>
    <w:rsid w:val="008637BB"/>
    <w:rsid w:val="008638FB"/>
    <w:rsid w:val="008641A3"/>
    <w:rsid w:val="00864BA7"/>
    <w:rsid w:val="00864FA0"/>
    <w:rsid w:val="00864FD5"/>
    <w:rsid w:val="008650CB"/>
    <w:rsid w:val="00867216"/>
    <w:rsid w:val="0086743B"/>
    <w:rsid w:val="00867EF6"/>
    <w:rsid w:val="00870CEF"/>
    <w:rsid w:val="0087154B"/>
    <w:rsid w:val="00871579"/>
    <w:rsid w:val="00871793"/>
    <w:rsid w:val="00871B86"/>
    <w:rsid w:val="00872962"/>
    <w:rsid w:val="008729E8"/>
    <w:rsid w:val="008731BF"/>
    <w:rsid w:val="00873A05"/>
    <w:rsid w:val="00873C79"/>
    <w:rsid w:val="008742B8"/>
    <w:rsid w:val="00874AFA"/>
    <w:rsid w:val="00874BE6"/>
    <w:rsid w:val="00874BEF"/>
    <w:rsid w:val="00874C43"/>
    <w:rsid w:val="00874C88"/>
    <w:rsid w:val="00875044"/>
    <w:rsid w:val="008752CF"/>
    <w:rsid w:val="008752D5"/>
    <w:rsid w:val="00875D1B"/>
    <w:rsid w:val="00876093"/>
    <w:rsid w:val="008774B2"/>
    <w:rsid w:val="00877570"/>
    <w:rsid w:val="008815C0"/>
    <w:rsid w:val="00881780"/>
    <w:rsid w:val="0088250C"/>
    <w:rsid w:val="008832BB"/>
    <w:rsid w:val="00884182"/>
    <w:rsid w:val="008844CC"/>
    <w:rsid w:val="00884DE8"/>
    <w:rsid w:val="0088512A"/>
    <w:rsid w:val="008864C3"/>
    <w:rsid w:val="00886B83"/>
    <w:rsid w:val="00886EC0"/>
    <w:rsid w:val="00887272"/>
    <w:rsid w:val="008877DB"/>
    <w:rsid w:val="00887AA2"/>
    <w:rsid w:val="008900AB"/>
    <w:rsid w:val="0089018B"/>
    <w:rsid w:val="00890AC9"/>
    <w:rsid w:val="008916E6"/>
    <w:rsid w:val="00891B0F"/>
    <w:rsid w:val="00892147"/>
    <w:rsid w:val="0089263D"/>
    <w:rsid w:val="008926B9"/>
    <w:rsid w:val="00892B86"/>
    <w:rsid w:val="00892BD6"/>
    <w:rsid w:val="008935B1"/>
    <w:rsid w:val="00893F4C"/>
    <w:rsid w:val="008940AA"/>
    <w:rsid w:val="00894579"/>
    <w:rsid w:val="00894649"/>
    <w:rsid w:val="00895364"/>
    <w:rsid w:val="008959FD"/>
    <w:rsid w:val="00895C6B"/>
    <w:rsid w:val="00895F61"/>
    <w:rsid w:val="00896D0A"/>
    <w:rsid w:val="0089751D"/>
    <w:rsid w:val="00897A46"/>
    <w:rsid w:val="008A0126"/>
    <w:rsid w:val="008A07C5"/>
    <w:rsid w:val="008A0954"/>
    <w:rsid w:val="008A0D61"/>
    <w:rsid w:val="008A1808"/>
    <w:rsid w:val="008A241B"/>
    <w:rsid w:val="008A2A96"/>
    <w:rsid w:val="008A3F58"/>
    <w:rsid w:val="008A4499"/>
    <w:rsid w:val="008A531F"/>
    <w:rsid w:val="008A596A"/>
    <w:rsid w:val="008A59F2"/>
    <w:rsid w:val="008A5DAC"/>
    <w:rsid w:val="008A636F"/>
    <w:rsid w:val="008A6F31"/>
    <w:rsid w:val="008A7065"/>
    <w:rsid w:val="008A78FE"/>
    <w:rsid w:val="008A79F4"/>
    <w:rsid w:val="008A7EC2"/>
    <w:rsid w:val="008B0E4F"/>
    <w:rsid w:val="008B11DE"/>
    <w:rsid w:val="008B1807"/>
    <w:rsid w:val="008B1874"/>
    <w:rsid w:val="008B2637"/>
    <w:rsid w:val="008B2706"/>
    <w:rsid w:val="008B2D1E"/>
    <w:rsid w:val="008B3114"/>
    <w:rsid w:val="008B319C"/>
    <w:rsid w:val="008B31E9"/>
    <w:rsid w:val="008B3E6B"/>
    <w:rsid w:val="008B4390"/>
    <w:rsid w:val="008B4F99"/>
    <w:rsid w:val="008B5768"/>
    <w:rsid w:val="008B591C"/>
    <w:rsid w:val="008B5B1F"/>
    <w:rsid w:val="008B5F93"/>
    <w:rsid w:val="008B5FD5"/>
    <w:rsid w:val="008B63BB"/>
    <w:rsid w:val="008B6948"/>
    <w:rsid w:val="008B6A7F"/>
    <w:rsid w:val="008B6DA0"/>
    <w:rsid w:val="008B6E0E"/>
    <w:rsid w:val="008B6E62"/>
    <w:rsid w:val="008B6E85"/>
    <w:rsid w:val="008B761D"/>
    <w:rsid w:val="008B7C4A"/>
    <w:rsid w:val="008C0190"/>
    <w:rsid w:val="008C01FF"/>
    <w:rsid w:val="008C0A9D"/>
    <w:rsid w:val="008C0AFD"/>
    <w:rsid w:val="008C17E1"/>
    <w:rsid w:val="008C1961"/>
    <w:rsid w:val="008C32C7"/>
    <w:rsid w:val="008C455A"/>
    <w:rsid w:val="008C4CA8"/>
    <w:rsid w:val="008C4EDA"/>
    <w:rsid w:val="008C5305"/>
    <w:rsid w:val="008C5566"/>
    <w:rsid w:val="008C562A"/>
    <w:rsid w:val="008C5863"/>
    <w:rsid w:val="008C69A9"/>
    <w:rsid w:val="008C6D7A"/>
    <w:rsid w:val="008C7124"/>
    <w:rsid w:val="008C713E"/>
    <w:rsid w:val="008C794E"/>
    <w:rsid w:val="008C7B9B"/>
    <w:rsid w:val="008D07A1"/>
    <w:rsid w:val="008D0D6B"/>
    <w:rsid w:val="008D0E73"/>
    <w:rsid w:val="008D14B9"/>
    <w:rsid w:val="008D1648"/>
    <w:rsid w:val="008D16DD"/>
    <w:rsid w:val="008D2745"/>
    <w:rsid w:val="008D2A84"/>
    <w:rsid w:val="008D3C40"/>
    <w:rsid w:val="008D4D1D"/>
    <w:rsid w:val="008D50BF"/>
    <w:rsid w:val="008D5D67"/>
    <w:rsid w:val="008D5F2F"/>
    <w:rsid w:val="008D6448"/>
    <w:rsid w:val="008D66D8"/>
    <w:rsid w:val="008D682A"/>
    <w:rsid w:val="008D751E"/>
    <w:rsid w:val="008D7E7E"/>
    <w:rsid w:val="008E02A6"/>
    <w:rsid w:val="008E02FA"/>
    <w:rsid w:val="008E1751"/>
    <w:rsid w:val="008E1873"/>
    <w:rsid w:val="008E1922"/>
    <w:rsid w:val="008E1A39"/>
    <w:rsid w:val="008E1CD3"/>
    <w:rsid w:val="008E1F25"/>
    <w:rsid w:val="008E27CB"/>
    <w:rsid w:val="008E2AE3"/>
    <w:rsid w:val="008E449D"/>
    <w:rsid w:val="008E4F42"/>
    <w:rsid w:val="008E5072"/>
    <w:rsid w:val="008E57B4"/>
    <w:rsid w:val="008E58A8"/>
    <w:rsid w:val="008E6374"/>
    <w:rsid w:val="008E6791"/>
    <w:rsid w:val="008E72A7"/>
    <w:rsid w:val="008E7C43"/>
    <w:rsid w:val="008F0232"/>
    <w:rsid w:val="008F04AE"/>
    <w:rsid w:val="008F0682"/>
    <w:rsid w:val="008F06E3"/>
    <w:rsid w:val="008F1581"/>
    <w:rsid w:val="008F23FE"/>
    <w:rsid w:val="008F279E"/>
    <w:rsid w:val="008F2820"/>
    <w:rsid w:val="008F2C96"/>
    <w:rsid w:val="008F3767"/>
    <w:rsid w:val="008F3AB4"/>
    <w:rsid w:val="008F432B"/>
    <w:rsid w:val="008F43F9"/>
    <w:rsid w:val="008F4452"/>
    <w:rsid w:val="008F4F69"/>
    <w:rsid w:val="008F4FFD"/>
    <w:rsid w:val="008F53DF"/>
    <w:rsid w:val="008F54DD"/>
    <w:rsid w:val="008F6E39"/>
    <w:rsid w:val="008F72A3"/>
    <w:rsid w:val="00900473"/>
    <w:rsid w:val="009007BB"/>
    <w:rsid w:val="00900ED9"/>
    <w:rsid w:val="009013F6"/>
    <w:rsid w:val="00901880"/>
    <w:rsid w:val="009018CE"/>
    <w:rsid w:val="00901D16"/>
    <w:rsid w:val="00901EB2"/>
    <w:rsid w:val="00902AA5"/>
    <w:rsid w:val="00904000"/>
    <w:rsid w:val="00904F14"/>
    <w:rsid w:val="0090562E"/>
    <w:rsid w:val="00905A66"/>
    <w:rsid w:val="00905DB4"/>
    <w:rsid w:val="00905F41"/>
    <w:rsid w:val="00906446"/>
    <w:rsid w:val="00906459"/>
    <w:rsid w:val="009068B9"/>
    <w:rsid w:val="00906C94"/>
    <w:rsid w:val="009071BB"/>
    <w:rsid w:val="00910402"/>
    <w:rsid w:val="00911100"/>
    <w:rsid w:val="00911F3B"/>
    <w:rsid w:val="009130F8"/>
    <w:rsid w:val="00913249"/>
    <w:rsid w:val="00913494"/>
    <w:rsid w:val="00913699"/>
    <w:rsid w:val="00913C46"/>
    <w:rsid w:val="00913E4F"/>
    <w:rsid w:val="00913F80"/>
    <w:rsid w:val="009144AB"/>
    <w:rsid w:val="009144D5"/>
    <w:rsid w:val="00914654"/>
    <w:rsid w:val="00914EC1"/>
    <w:rsid w:val="00914F50"/>
    <w:rsid w:val="009152A9"/>
    <w:rsid w:val="00915CC4"/>
    <w:rsid w:val="00916161"/>
    <w:rsid w:val="00916292"/>
    <w:rsid w:val="009175C2"/>
    <w:rsid w:val="0091789A"/>
    <w:rsid w:val="00917D64"/>
    <w:rsid w:val="0092251C"/>
    <w:rsid w:val="009226C5"/>
    <w:rsid w:val="009229C9"/>
    <w:rsid w:val="0092357A"/>
    <w:rsid w:val="00923D27"/>
    <w:rsid w:val="0092402B"/>
    <w:rsid w:val="00924436"/>
    <w:rsid w:val="00924A9F"/>
    <w:rsid w:val="00925042"/>
    <w:rsid w:val="009251E0"/>
    <w:rsid w:val="009257E0"/>
    <w:rsid w:val="009269BD"/>
    <w:rsid w:val="00926AA3"/>
    <w:rsid w:val="00926E00"/>
    <w:rsid w:val="00926E34"/>
    <w:rsid w:val="0093031B"/>
    <w:rsid w:val="00930B44"/>
    <w:rsid w:val="00931225"/>
    <w:rsid w:val="0093126B"/>
    <w:rsid w:val="0093128F"/>
    <w:rsid w:val="00931D72"/>
    <w:rsid w:val="00932256"/>
    <w:rsid w:val="00932288"/>
    <w:rsid w:val="00932774"/>
    <w:rsid w:val="00932A7C"/>
    <w:rsid w:val="0093324D"/>
    <w:rsid w:val="00933603"/>
    <w:rsid w:val="00934680"/>
    <w:rsid w:val="009350DA"/>
    <w:rsid w:val="0093570B"/>
    <w:rsid w:val="009357E4"/>
    <w:rsid w:val="0093646B"/>
    <w:rsid w:val="0093791B"/>
    <w:rsid w:val="00940D6C"/>
    <w:rsid w:val="00941303"/>
    <w:rsid w:val="0094165E"/>
    <w:rsid w:val="00941E8B"/>
    <w:rsid w:val="00941FD2"/>
    <w:rsid w:val="009429B6"/>
    <w:rsid w:val="009443AE"/>
    <w:rsid w:val="00944B51"/>
    <w:rsid w:val="00944BA6"/>
    <w:rsid w:val="00944CFB"/>
    <w:rsid w:val="00944E19"/>
    <w:rsid w:val="00944F50"/>
    <w:rsid w:val="00945199"/>
    <w:rsid w:val="009457AA"/>
    <w:rsid w:val="00945A29"/>
    <w:rsid w:val="009463D5"/>
    <w:rsid w:val="00946797"/>
    <w:rsid w:val="00946800"/>
    <w:rsid w:val="00946822"/>
    <w:rsid w:val="0094706D"/>
    <w:rsid w:val="0094795A"/>
    <w:rsid w:val="00947C03"/>
    <w:rsid w:val="009511EB"/>
    <w:rsid w:val="00951870"/>
    <w:rsid w:val="00951EE6"/>
    <w:rsid w:val="00952051"/>
    <w:rsid w:val="00953ABF"/>
    <w:rsid w:val="00953D69"/>
    <w:rsid w:val="00954226"/>
    <w:rsid w:val="00954658"/>
    <w:rsid w:val="00954D8E"/>
    <w:rsid w:val="00956153"/>
    <w:rsid w:val="009561B4"/>
    <w:rsid w:val="009565AE"/>
    <w:rsid w:val="00956AA3"/>
    <w:rsid w:val="009574B7"/>
    <w:rsid w:val="009605F6"/>
    <w:rsid w:val="00960662"/>
    <w:rsid w:val="00960BD9"/>
    <w:rsid w:val="009611D3"/>
    <w:rsid w:val="00962193"/>
    <w:rsid w:val="009627CF"/>
    <w:rsid w:val="00962E7D"/>
    <w:rsid w:val="0096406A"/>
    <w:rsid w:val="00964D10"/>
    <w:rsid w:val="00965153"/>
    <w:rsid w:val="0096531D"/>
    <w:rsid w:val="00965371"/>
    <w:rsid w:val="00965468"/>
    <w:rsid w:val="00965874"/>
    <w:rsid w:val="00965E71"/>
    <w:rsid w:val="009667F1"/>
    <w:rsid w:val="009668D3"/>
    <w:rsid w:val="009670C2"/>
    <w:rsid w:val="00967CDE"/>
    <w:rsid w:val="00970100"/>
    <w:rsid w:val="0097040B"/>
    <w:rsid w:val="00970D44"/>
    <w:rsid w:val="00972177"/>
    <w:rsid w:val="0097219F"/>
    <w:rsid w:val="00973366"/>
    <w:rsid w:val="00973DF4"/>
    <w:rsid w:val="00974624"/>
    <w:rsid w:val="00975087"/>
    <w:rsid w:val="00975C59"/>
    <w:rsid w:val="009760F9"/>
    <w:rsid w:val="00976215"/>
    <w:rsid w:val="00976309"/>
    <w:rsid w:val="009773D6"/>
    <w:rsid w:val="00977491"/>
    <w:rsid w:val="00977C0C"/>
    <w:rsid w:val="00980588"/>
    <w:rsid w:val="00980C2C"/>
    <w:rsid w:val="00982626"/>
    <w:rsid w:val="00982A19"/>
    <w:rsid w:val="00982F86"/>
    <w:rsid w:val="00983210"/>
    <w:rsid w:val="009833D1"/>
    <w:rsid w:val="0098376A"/>
    <w:rsid w:val="00983D24"/>
    <w:rsid w:val="00983F50"/>
    <w:rsid w:val="0098413C"/>
    <w:rsid w:val="0098560B"/>
    <w:rsid w:val="0098605C"/>
    <w:rsid w:val="00987290"/>
    <w:rsid w:val="009872EB"/>
    <w:rsid w:val="009876EE"/>
    <w:rsid w:val="00987AA2"/>
    <w:rsid w:val="00987B8C"/>
    <w:rsid w:val="00987CEE"/>
    <w:rsid w:val="009905DE"/>
    <w:rsid w:val="00990C19"/>
    <w:rsid w:val="00990EB2"/>
    <w:rsid w:val="00991CC7"/>
    <w:rsid w:val="00991D80"/>
    <w:rsid w:val="00991EA5"/>
    <w:rsid w:val="009920AC"/>
    <w:rsid w:val="009923F6"/>
    <w:rsid w:val="00992863"/>
    <w:rsid w:val="00992AD4"/>
    <w:rsid w:val="00992B33"/>
    <w:rsid w:val="00992B8E"/>
    <w:rsid w:val="009945E8"/>
    <w:rsid w:val="00994FC7"/>
    <w:rsid w:val="009959BD"/>
    <w:rsid w:val="00996363"/>
    <w:rsid w:val="00996F08"/>
    <w:rsid w:val="00997309"/>
    <w:rsid w:val="00997DE4"/>
    <w:rsid w:val="009A0338"/>
    <w:rsid w:val="009A034D"/>
    <w:rsid w:val="009A055F"/>
    <w:rsid w:val="009A0F7D"/>
    <w:rsid w:val="009A1248"/>
    <w:rsid w:val="009A1344"/>
    <w:rsid w:val="009A1365"/>
    <w:rsid w:val="009A14FA"/>
    <w:rsid w:val="009A197F"/>
    <w:rsid w:val="009A20BC"/>
    <w:rsid w:val="009A24FB"/>
    <w:rsid w:val="009A26E1"/>
    <w:rsid w:val="009A28DA"/>
    <w:rsid w:val="009A2CF1"/>
    <w:rsid w:val="009A3ADC"/>
    <w:rsid w:val="009A3C08"/>
    <w:rsid w:val="009A4882"/>
    <w:rsid w:val="009A4AA5"/>
    <w:rsid w:val="009A500C"/>
    <w:rsid w:val="009A55FF"/>
    <w:rsid w:val="009A57CD"/>
    <w:rsid w:val="009A5D5A"/>
    <w:rsid w:val="009A5DEE"/>
    <w:rsid w:val="009A6277"/>
    <w:rsid w:val="009A6451"/>
    <w:rsid w:val="009A6783"/>
    <w:rsid w:val="009A73C8"/>
    <w:rsid w:val="009A76E5"/>
    <w:rsid w:val="009A7AFF"/>
    <w:rsid w:val="009A7D13"/>
    <w:rsid w:val="009B0472"/>
    <w:rsid w:val="009B0DA6"/>
    <w:rsid w:val="009B11C6"/>
    <w:rsid w:val="009B1362"/>
    <w:rsid w:val="009B15B7"/>
    <w:rsid w:val="009B1A87"/>
    <w:rsid w:val="009B21EE"/>
    <w:rsid w:val="009B2247"/>
    <w:rsid w:val="009B2576"/>
    <w:rsid w:val="009B297F"/>
    <w:rsid w:val="009B31C1"/>
    <w:rsid w:val="009B3D52"/>
    <w:rsid w:val="009B4548"/>
    <w:rsid w:val="009B4699"/>
    <w:rsid w:val="009B4E55"/>
    <w:rsid w:val="009B506D"/>
    <w:rsid w:val="009B55EE"/>
    <w:rsid w:val="009B5882"/>
    <w:rsid w:val="009B6452"/>
    <w:rsid w:val="009B70E8"/>
    <w:rsid w:val="009C0631"/>
    <w:rsid w:val="009C0C86"/>
    <w:rsid w:val="009C1008"/>
    <w:rsid w:val="009C1809"/>
    <w:rsid w:val="009C1AFF"/>
    <w:rsid w:val="009C218C"/>
    <w:rsid w:val="009C21E3"/>
    <w:rsid w:val="009C222F"/>
    <w:rsid w:val="009C25F1"/>
    <w:rsid w:val="009C2C60"/>
    <w:rsid w:val="009C372E"/>
    <w:rsid w:val="009C3B12"/>
    <w:rsid w:val="009C3DBD"/>
    <w:rsid w:val="009C3EC8"/>
    <w:rsid w:val="009C4186"/>
    <w:rsid w:val="009C47F5"/>
    <w:rsid w:val="009C4C4F"/>
    <w:rsid w:val="009C53AE"/>
    <w:rsid w:val="009C59C1"/>
    <w:rsid w:val="009C5AD0"/>
    <w:rsid w:val="009C6134"/>
    <w:rsid w:val="009C6703"/>
    <w:rsid w:val="009C69CD"/>
    <w:rsid w:val="009C6D2B"/>
    <w:rsid w:val="009C7301"/>
    <w:rsid w:val="009C788F"/>
    <w:rsid w:val="009C79AB"/>
    <w:rsid w:val="009C7ACB"/>
    <w:rsid w:val="009C7EF2"/>
    <w:rsid w:val="009D135A"/>
    <w:rsid w:val="009D1A50"/>
    <w:rsid w:val="009D2F15"/>
    <w:rsid w:val="009D321C"/>
    <w:rsid w:val="009D37C6"/>
    <w:rsid w:val="009D3F25"/>
    <w:rsid w:val="009D4134"/>
    <w:rsid w:val="009D4210"/>
    <w:rsid w:val="009D4A53"/>
    <w:rsid w:val="009D4B3F"/>
    <w:rsid w:val="009D500B"/>
    <w:rsid w:val="009D57AF"/>
    <w:rsid w:val="009D5899"/>
    <w:rsid w:val="009D5EFF"/>
    <w:rsid w:val="009D648F"/>
    <w:rsid w:val="009D737C"/>
    <w:rsid w:val="009D7811"/>
    <w:rsid w:val="009D7EC6"/>
    <w:rsid w:val="009E0313"/>
    <w:rsid w:val="009E1372"/>
    <w:rsid w:val="009E1E04"/>
    <w:rsid w:val="009E1FF9"/>
    <w:rsid w:val="009E31F4"/>
    <w:rsid w:val="009E4179"/>
    <w:rsid w:val="009E4242"/>
    <w:rsid w:val="009E4732"/>
    <w:rsid w:val="009E57E8"/>
    <w:rsid w:val="009E59F4"/>
    <w:rsid w:val="009E5D79"/>
    <w:rsid w:val="009E7266"/>
    <w:rsid w:val="009E7B1E"/>
    <w:rsid w:val="009E7D74"/>
    <w:rsid w:val="009F0190"/>
    <w:rsid w:val="009F01B8"/>
    <w:rsid w:val="009F047C"/>
    <w:rsid w:val="009F0B0F"/>
    <w:rsid w:val="009F0F0E"/>
    <w:rsid w:val="009F1217"/>
    <w:rsid w:val="009F1CDD"/>
    <w:rsid w:val="009F1D5A"/>
    <w:rsid w:val="009F1DEF"/>
    <w:rsid w:val="009F2418"/>
    <w:rsid w:val="009F2588"/>
    <w:rsid w:val="009F36C5"/>
    <w:rsid w:val="009F3CE4"/>
    <w:rsid w:val="009F3D5F"/>
    <w:rsid w:val="009F51A2"/>
    <w:rsid w:val="009F5F4C"/>
    <w:rsid w:val="009F6D94"/>
    <w:rsid w:val="009F7480"/>
    <w:rsid w:val="009F7689"/>
    <w:rsid w:val="009F7EC1"/>
    <w:rsid w:val="00A00170"/>
    <w:rsid w:val="00A00BB2"/>
    <w:rsid w:val="00A013B0"/>
    <w:rsid w:val="00A01E51"/>
    <w:rsid w:val="00A03C6A"/>
    <w:rsid w:val="00A04285"/>
    <w:rsid w:val="00A04494"/>
    <w:rsid w:val="00A04767"/>
    <w:rsid w:val="00A0546E"/>
    <w:rsid w:val="00A0551C"/>
    <w:rsid w:val="00A05BB8"/>
    <w:rsid w:val="00A06295"/>
    <w:rsid w:val="00A06427"/>
    <w:rsid w:val="00A076BA"/>
    <w:rsid w:val="00A121A7"/>
    <w:rsid w:val="00A121BF"/>
    <w:rsid w:val="00A12416"/>
    <w:rsid w:val="00A136C6"/>
    <w:rsid w:val="00A136CE"/>
    <w:rsid w:val="00A13755"/>
    <w:rsid w:val="00A13A51"/>
    <w:rsid w:val="00A13A89"/>
    <w:rsid w:val="00A13AA8"/>
    <w:rsid w:val="00A13FE3"/>
    <w:rsid w:val="00A14158"/>
    <w:rsid w:val="00A14256"/>
    <w:rsid w:val="00A146AA"/>
    <w:rsid w:val="00A14BAC"/>
    <w:rsid w:val="00A14D5C"/>
    <w:rsid w:val="00A153D0"/>
    <w:rsid w:val="00A154F9"/>
    <w:rsid w:val="00A158CC"/>
    <w:rsid w:val="00A15D6B"/>
    <w:rsid w:val="00A16271"/>
    <w:rsid w:val="00A1666B"/>
    <w:rsid w:val="00A16954"/>
    <w:rsid w:val="00A17BA4"/>
    <w:rsid w:val="00A207DC"/>
    <w:rsid w:val="00A20CEB"/>
    <w:rsid w:val="00A21118"/>
    <w:rsid w:val="00A219FC"/>
    <w:rsid w:val="00A21F8C"/>
    <w:rsid w:val="00A22284"/>
    <w:rsid w:val="00A22977"/>
    <w:rsid w:val="00A23A82"/>
    <w:rsid w:val="00A23B89"/>
    <w:rsid w:val="00A241F9"/>
    <w:rsid w:val="00A24437"/>
    <w:rsid w:val="00A24862"/>
    <w:rsid w:val="00A252B6"/>
    <w:rsid w:val="00A2544C"/>
    <w:rsid w:val="00A25767"/>
    <w:rsid w:val="00A25FFF"/>
    <w:rsid w:val="00A2607B"/>
    <w:rsid w:val="00A26CCB"/>
    <w:rsid w:val="00A27980"/>
    <w:rsid w:val="00A27A38"/>
    <w:rsid w:val="00A27B3B"/>
    <w:rsid w:val="00A27C3C"/>
    <w:rsid w:val="00A27D03"/>
    <w:rsid w:val="00A27DB4"/>
    <w:rsid w:val="00A30E89"/>
    <w:rsid w:val="00A314A0"/>
    <w:rsid w:val="00A31598"/>
    <w:rsid w:val="00A319C1"/>
    <w:rsid w:val="00A31ADE"/>
    <w:rsid w:val="00A31C7D"/>
    <w:rsid w:val="00A320DB"/>
    <w:rsid w:val="00A3249C"/>
    <w:rsid w:val="00A32A75"/>
    <w:rsid w:val="00A33C93"/>
    <w:rsid w:val="00A3410E"/>
    <w:rsid w:val="00A35ACD"/>
    <w:rsid w:val="00A35AFF"/>
    <w:rsid w:val="00A36A84"/>
    <w:rsid w:val="00A370B4"/>
    <w:rsid w:val="00A37836"/>
    <w:rsid w:val="00A37C79"/>
    <w:rsid w:val="00A40288"/>
    <w:rsid w:val="00A406E6"/>
    <w:rsid w:val="00A409A3"/>
    <w:rsid w:val="00A41771"/>
    <w:rsid w:val="00A41B17"/>
    <w:rsid w:val="00A421B2"/>
    <w:rsid w:val="00A42796"/>
    <w:rsid w:val="00A4292D"/>
    <w:rsid w:val="00A42E17"/>
    <w:rsid w:val="00A4329A"/>
    <w:rsid w:val="00A4334A"/>
    <w:rsid w:val="00A43DB0"/>
    <w:rsid w:val="00A43F59"/>
    <w:rsid w:val="00A443E2"/>
    <w:rsid w:val="00A44D4F"/>
    <w:rsid w:val="00A450A0"/>
    <w:rsid w:val="00A45B2B"/>
    <w:rsid w:val="00A45CC2"/>
    <w:rsid w:val="00A50E22"/>
    <w:rsid w:val="00A5145B"/>
    <w:rsid w:val="00A51586"/>
    <w:rsid w:val="00A52936"/>
    <w:rsid w:val="00A52EE9"/>
    <w:rsid w:val="00A53746"/>
    <w:rsid w:val="00A54141"/>
    <w:rsid w:val="00A541FD"/>
    <w:rsid w:val="00A54811"/>
    <w:rsid w:val="00A54BD8"/>
    <w:rsid w:val="00A54CB9"/>
    <w:rsid w:val="00A551E5"/>
    <w:rsid w:val="00A55308"/>
    <w:rsid w:val="00A55987"/>
    <w:rsid w:val="00A560B3"/>
    <w:rsid w:val="00A56190"/>
    <w:rsid w:val="00A56340"/>
    <w:rsid w:val="00A57A69"/>
    <w:rsid w:val="00A57C92"/>
    <w:rsid w:val="00A57F82"/>
    <w:rsid w:val="00A608B7"/>
    <w:rsid w:val="00A60FE1"/>
    <w:rsid w:val="00A6122A"/>
    <w:rsid w:val="00A61836"/>
    <w:rsid w:val="00A61853"/>
    <w:rsid w:val="00A618C6"/>
    <w:rsid w:val="00A62A4D"/>
    <w:rsid w:val="00A62CC5"/>
    <w:rsid w:val="00A6317B"/>
    <w:rsid w:val="00A63184"/>
    <w:rsid w:val="00A63BD6"/>
    <w:rsid w:val="00A63DF1"/>
    <w:rsid w:val="00A64096"/>
    <w:rsid w:val="00A6410C"/>
    <w:rsid w:val="00A6435A"/>
    <w:rsid w:val="00A647CD"/>
    <w:rsid w:val="00A6560B"/>
    <w:rsid w:val="00A65C42"/>
    <w:rsid w:val="00A65EF7"/>
    <w:rsid w:val="00A66396"/>
    <w:rsid w:val="00A671D1"/>
    <w:rsid w:val="00A67879"/>
    <w:rsid w:val="00A67EF5"/>
    <w:rsid w:val="00A704EA"/>
    <w:rsid w:val="00A7234D"/>
    <w:rsid w:val="00A72E28"/>
    <w:rsid w:val="00A738B1"/>
    <w:rsid w:val="00A74535"/>
    <w:rsid w:val="00A754DD"/>
    <w:rsid w:val="00A75510"/>
    <w:rsid w:val="00A75723"/>
    <w:rsid w:val="00A75E47"/>
    <w:rsid w:val="00A766AD"/>
    <w:rsid w:val="00A76961"/>
    <w:rsid w:val="00A76BFB"/>
    <w:rsid w:val="00A77663"/>
    <w:rsid w:val="00A8122B"/>
    <w:rsid w:val="00A81726"/>
    <w:rsid w:val="00A81A20"/>
    <w:rsid w:val="00A81B8D"/>
    <w:rsid w:val="00A81EC8"/>
    <w:rsid w:val="00A82EDC"/>
    <w:rsid w:val="00A82FA9"/>
    <w:rsid w:val="00A83366"/>
    <w:rsid w:val="00A83DDC"/>
    <w:rsid w:val="00A83F37"/>
    <w:rsid w:val="00A84018"/>
    <w:rsid w:val="00A8418F"/>
    <w:rsid w:val="00A842A3"/>
    <w:rsid w:val="00A84B94"/>
    <w:rsid w:val="00A84BED"/>
    <w:rsid w:val="00A8536F"/>
    <w:rsid w:val="00A857C4"/>
    <w:rsid w:val="00A85AF6"/>
    <w:rsid w:val="00A85CD9"/>
    <w:rsid w:val="00A85E27"/>
    <w:rsid w:val="00A86D6F"/>
    <w:rsid w:val="00A86E3E"/>
    <w:rsid w:val="00A86EE2"/>
    <w:rsid w:val="00A874D2"/>
    <w:rsid w:val="00A87BAE"/>
    <w:rsid w:val="00A90976"/>
    <w:rsid w:val="00A913A1"/>
    <w:rsid w:val="00A91ACB"/>
    <w:rsid w:val="00A91AF5"/>
    <w:rsid w:val="00A92584"/>
    <w:rsid w:val="00A925A7"/>
    <w:rsid w:val="00A925DB"/>
    <w:rsid w:val="00A930BB"/>
    <w:rsid w:val="00A933F4"/>
    <w:rsid w:val="00A93DC6"/>
    <w:rsid w:val="00A94354"/>
    <w:rsid w:val="00A94796"/>
    <w:rsid w:val="00A94CEF"/>
    <w:rsid w:val="00A9501F"/>
    <w:rsid w:val="00A951AC"/>
    <w:rsid w:val="00A951C2"/>
    <w:rsid w:val="00A95452"/>
    <w:rsid w:val="00A95DFD"/>
    <w:rsid w:val="00A95EE0"/>
    <w:rsid w:val="00A96EF6"/>
    <w:rsid w:val="00AA0925"/>
    <w:rsid w:val="00AA096E"/>
    <w:rsid w:val="00AA1293"/>
    <w:rsid w:val="00AA14C3"/>
    <w:rsid w:val="00AA188D"/>
    <w:rsid w:val="00AA3EDF"/>
    <w:rsid w:val="00AA411A"/>
    <w:rsid w:val="00AA4220"/>
    <w:rsid w:val="00AA4239"/>
    <w:rsid w:val="00AA4D46"/>
    <w:rsid w:val="00AA54AE"/>
    <w:rsid w:val="00AA5F04"/>
    <w:rsid w:val="00AA6816"/>
    <w:rsid w:val="00AA69E5"/>
    <w:rsid w:val="00AA6D4E"/>
    <w:rsid w:val="00AA73D0"/>
    <w:rsid w:val="00AA75CE"/>
    <w:rsid w:val="00AB023A"/>
    <w:rsid w:val="00AB0C43"/>
    <w:rsid w:val="00AB1082"/>
    <w:rsid w:val="00AB1098"/>
    <w:rsid w:val="00AB1102"/>
    <w:rsid w:val="00AB173C"/>
    <w:rsid w:val="00AB1B38"/>
    <w:rsid w:val="00AB1E82"/>
    <w:rsid w:val="00AB217D"/>
    <w:rsid w:val="00AB2581"/>
    <w:rsid w:val="00AB2643"/>
    <w:rsid w:val="00AB27C6"/>
    <w:rsid w:val="00AB3031"/>
    <w:rsid w:val="00AB3379"/>
    <w:rsid w:val="00AB3F05"/>
    <w:rsid w:val="00AB4013"/>
    <w:rsid w:val="00AB462F"/>
    <w:rsid w:val="00AB4C0D"/>
    <w:rsid w:val="00AB4DB7"/>
    <w:rsid w:val="00AB557D"/>
    <w:rsid w:val="00AB6477"/>
    <w:rsid w:val="00AB6533"/>
    <w:rsid w:val="00AB689D"/>
    <w:rsid w:val="00AB6EB6"/>
    <w:rsid w:val="00AB7675"/>
    <w:rsid w:val="00AB7E48"/>
    <w:rsid w:val="00AC070D"/>
    <w:rsid w:val="00AC0DE8"/>
    <w:rsid w:val="00AC1030"/>
    <w:rsid w:val="00AC1A14"/>
    <w:rsid w:val="00AC2121"/>
    <w:rsid w:val="00AC2A94"/>
    <w:rsid w:val="00AC322C"/>
    <w:rsid w:val="00AC33E2"/>
    <w:rsid w:val="00AC3674"/>
    <w:rsid w:val="00AC3F97"/>
    <w:rsid w:val="00AC4466"/>
    <w:rsid w:val="00AC4A20"/>
    <w:rsid w:val="00AC4FEA"/>
    <w:rsid w:val="00AC5213"/>
    <w:rsid w:val="00AC53F3"/>
    <w:rsid w:val="00AC584E"/>
    <w:rsid w:val="00AC5B6E"/>
    <w:rsid w:val="00AC5E1A"/>
    <w:rsid w:val="00AC70F7"/>
    <w:rsid w:val="00AC7B80"/>
    <w:rsid w:val="00AC7D80"/>
    <w:rsid w:val="00AD073E"/>
    <w:rsid w:val="00AD0A32"/>
    <w:rsid w:val="00AD1442"/>
    <w:rsid w:val="00AD14AB"/>
    <w:rsid w:val="00AD1B73"/>
    <w:rsid w:val="00AD20ED"/>
    <w:rsid w:val="00AD20FA"/>
    <w:rsid w:val="00AD26B9"/>
    <w:rsid w:val="00AD2F04"/>
    <w:rsid w:val="00AD2FE7"/>
    <w:rsid w:val="00AD30DD"/>
    <w:rsid w:val="00AD3BC2"/>
    <w:rsid w:val="00AD3C4C"/>
    <w:rsid w:val="00AD4264"/>
    <w:rsid w:val="00AD4434"/>
    <w:rsid w:val="00AD4D17"/>
    <w:rsid w:val="00AD5004"/>
    <w:rsid w:val="00AD5334"/>
    <w:rsid w:val="00AD53AA"/>
    <w:rsid w:val="00AD6826"/>
    <w:rsid w:val="00AD72BC"/>
    <w:rsid w:val="00AD79BF"/>
    <w:rsid w:val="00AD7C84"/>
    <w:rsid w:val="00AE07E1"/>
    <w:rsid w:val="00AE1449"/>
    <w:rsid w:val="00AE1D52"/>
    <w:rsid w:val="00AE2133"/>
    <w:rsid w:val="00AE2AD5"/>
    <w:rsid w:val="00AE3344"/>
    <w:rsid w:val="00AE43CD"/>
    <w:rsid w:val="00AE43F4"/>
    <w:rsid w:val="00AE5099"/>
    <w:rsid w:val="00AE50D3"/>
    <w:rsid w:val="00AE606A"/>
    <w:rsid w:val="00AE6F21"/>
    <w:rsid w:val="00AF013B"/>
    <w:rsid w:val="00AF0A66"/>
    <w:rsid w:val="00AF0CF8"/>
    <w:rsid w:val="00AF1658"/>
    <w:rsid w:val="00AF262C"/>
    <w:rsid w:val="00AF2A5A"/>
    <w:rsid w:val="00AF415A"/>
    <w:rsid w:val="00AF44F2"/>
    <w:rsid w:val="00AF4950"/>
    <w:rsid w:val="00AF53AB"/>
    <w:rsid w:val="00AF53BA"/>
    <w:rsid w:val="00AF64D9"/>
    <w:rsid w:val="00AF69B4"/>
    <w:rsid w:val="00AF717B"/>
    <w:rsid w:val="00B00A2E"/>
    <w:rsid w:val="00B00CD0"/>
    <w:rsid w:val="00B00D77"/>
    <w:rsid w:val="00B01138"/>
    <w:rsid w:val="00B0117B"/>
    <w:rsid w:val="00B011BD"/>
    <w:rsid w:val="00B01283"/>
    <w:rsid w:val="00B0153C"/>
    <w:rsid w:val="00B0269B"/>
    <w:rsid w:val="00B02A46"/>
    <w:rsid w:val="00B035B9"/>
    <w:rsid w:val="00B03EBB"/>
    <w:rsid w:val="00B04DD4"/>
    <w:rsid w:val="00B05993"/>
    <w:rsid w:val="00B060CD"/>
    <w:rsid w:val="00B0686C"/>
    <w:rsid w:val="00B06E97"/>
    <w:rsid w:val="00B102AD"/>
    <w:rsid w:val="00B10681"/>
    <w:rsid w:val="00B10B50"/>
    <w:rsid w:val="00B1149B"/>
    <w:rsid w:val="00B116D4"/>
    <w:rsid w:val="00B12191"/>
    <w:rsid w:val="00B12F04"/>
    <w:rsid w:val="00B13082"/>
    <w:rsid w:val="00B134E7"/>
    <w:rsid w:val="00B13A79"/>
    <w:rsid w:val="00B14075"/>
    <w:rsid w:val="00B14FC0"/>
    <w:rsid w:val="00B159F7"/>
    <w:rsid w:val="00B16524"/>
    <w:rsid w:val="00B165E7"/>
    <w:rsid w:val="00B16E86"/>
    <w:rsid w:val="00B170A8"/>
    <w:rsid w:val="00B20364"/>
    <w:rsid w:val="00B20E6F"/>
    <w:rsid w:val="00B211F2"/>
    <w:rsid w:val="00B2130C"/>
    <w:rsid w:val="00B215D0"/>
    <w:rsid w:val="00B21EDE"/>
    <w:rsid w:val="00B222B9"/>
    <w:rsid w:val="00B2244B"/>
    <w:rsid w:val="00B226A9"/>
    <w:rsid w:val="00B2300D"/>
    <w:rsid w:val="00B2303C"/>
    <w:rsid w:val="00B230F6"/>
    <w:rsid w:val="00B23139"/>
    <w:rsid w:val="00B232D6"/>
    <w:rsid w:val="00B23307"/>
    <w:rsid w:val="00B23539"/>
    <w:rsid w:val="00B23551"/>
    <w:rsid w:val="00B24DC8"/>
    <w:rsid w:val="00B25335"/>
    <w:rsid w:val="00B25CBD"/>
    <w:rsid w:val="00B26391"/>
    <w:rsid w:val="00B26A06"/>
    <w:rsid w:val="00B27AD5"/>
    <w:rsid w:val="00B27F3D"/>
    <w:rsid w:val="00B30A36"/>
    <w:rsid w:val="00B30B04"/>
    <w:rsid w:val="00B30E74"/>
    <w:rsid w:val="00B3108F"/>
    <w:rsid w:val="00B3114E"/>
    <w:rsid w:val="00B3148D"/>
    <w:rsid w:val="00B31CC5"/>
    <w:rsid w:val="00B33D79"/>
    <w:rsid w:val="00B33F59"/>
    <w:rsid w:val="00B34483"/>
    <w:rsid w:val="00B34A00"/>
    <w:rsid w:val="00B34DAE"/>
    <w:rsid w:val="00B358BB"/>
    <w:rsid w:val="00B365CA"/>
    <w:rsid w:val="00B36CA1"/>
    <w:rsid w:val="00B3737F"/>
    <w:rsid w:val="00B40514"/>
    <w:rsid w:val="00B41534"/>
    <w:rsid w:val="00B4154B"/>
    <w:rsid w:val="00B41784"/>
    <w:rsid w:val="00B41BEE"/>
    <w:rsid w:val="00B42E68"/>
    <w:rsid w:val="00B43462"/>
    <w:rsid w:val="00B43910"/>
    <w:rsid w:val="00B4420E"/>
    <w:rsid w:val="00B45669"/>
    <w:rsid w:val="00B4648A"/>
    <w:rsid w:val="00B46554"/>
    <w:rsid w:val="00B466F0"/>
    <w:rsid w:val="00B467BB"/>
    <w:rsid w:val="00B46AD1"/>
    <w:rsid w:val="00B47E3B"/>
    <w:rsid w:val="00B503B4"/>
    <w:rsid w:val="00B50892"/>
    <w:rsid w:val="00B50D91"/>
    <w:rsid w:val="00B50EE3"/>
    <w:rsid w:val="00B51057"/>
    <w:rsid w:val="00B511ED"/>
    <w:rsid w:val="00B51602"/>
    <w:rsid w:val="00B51F21"/>
    <w:rsid w:val="00B52273"/>
    <w:rsid w:val="00B52540"/>
    <w:rsid w:val="00B5371B"/>
    <w:rsid w:val="00B5399D"/>
    <w:rsid w:val="00B53C34"/>
    <w:rsid w:val="00B53F0D"/>
    <w:rsid w:val="00B542A4"/>
    <w:rsid w:val="00B54811"/>
    <w:rsid w:val="00B5657A"/>
    <w:rsid w:val="00B56B84"/>
    <w:rsid w:val="00B57961"/>
    <w:rsid w:val="00B57C56"/>
    <w:rsid w:val="00B61614"/>
    <w:rsid w:val="00B61672"/>
    <w:rsid w:val="00B61B8F"/>
    <w:rsid w:val="00B62488"/>
    <w:rsid w:val="00B628A4"/>
    <w:rsid w:val="00B62D2F"/>
    <w:rsid w:val="00B62E27"/>
    <w:rsid w:val="00B64774"/>
    <w:rsid w:val="00B64E06"/>
    <w:rsid w:val="00B65A6A"/>
    <w:rsid w:val="00B65CB5"/>
    <w:rsid w:val="00B65D4A"/>
    <w:rsid w:val="00B65E12"/>
    <w:rsid w:val="00B668FC"/>
    <w:rsid w:val="00B66B65"/>
    <w:rsid w:val="00B66BB3"/>
    <w:rsid w:val="00B67E57"/>
    <w:rsid w:val="00B67EC2"/>
    <w:rsid w:val="00B7024C"/>
    <w:rsid w:val="00B70EBF"/>
    <w:rsid w:val="00B70EF2"/>
    <w:rsid w:val="00B70F06"/>
    <w:rsid w:val="00B7145B"/>
    <w:rsid w:val="00B71881"/>
    <w:rsid w:val="00B72FA4"/>
    <w:rsid w:val="00B7347B"/>
    <w:rsid w:val="00B7374F"/>
    <w:rsid w:val="00B74500"/>
    <w:rsid w:val="00B74AFB"/>
    <w:rsid w:val="00B7547E"/>
    <w:rsid w:val="00B754EA"/>
    <w:rsid w:val="00B75A04"/>
    <w:rsid w:val="00B7605A"/>
    <w:rsid w:val="00B768AD"/>
    <w:rsid w:val="00B76D77"/>
    <w:rsid w:val="00B7702D"/>
    <w:rsid w:val="00B774E3"/>
    <w:rsid w:val="00B7761D"/>
    <w:rsid w:val="00B778C6"/>
    <w:rsid w:val="00B77BCD"/>
    <w:rsid w:val="00B77E2A"/>
    <w:rsid w:val="00B808B5"/>
    <w:rsid w:val="00B80BF0"/>
    <w:rsid w:val="00B80E48"/>
    <w:rsid w:val="00B810CD"/>
    <w:rsid w:val="00B81196"/>
    <w:rsid w:val="00B81393"/>
    <w:rsid w:val="00B8158A"/>
    <w:rsid w:val="00B81607"/>
    <w:rsid w:val="00B81787"/>
    <w:rsid w:val="00B81E23"/>
    <w:rsid w:val="00B8280A"/>
    <w:rsid w:val="00B83280"/>
    <w:rsid w:val="00B83638"/>
    <w:rsid w:val="00B838AA"/>
    <w:rsid w:val="00B83907"/>
    <w:rsid w:val="00B839BC"/>
    <w:rsid w:val="00B84400"/>
    <w:rsid w:val="00B84738"/>
    <w:rsid w:val="00B84B83"/>
    <w:rsid w:val="00B85057"/>
    <w:rsid w:val="00B85087"/>
    <w:rsid w:val="00B853F9"/>
    <w:rsid w:val="00B860D7"/>
    <w:rsid w:val="00B868DC"/>
    <w:rsid w:val="00B86FAD"/>
    <w:rsid w:val="00B87B8A"/>
    <w:rsid w:val="00B9190B"/>
    <w:rsid w:val="00B922DC"/>
    <w:rsid w:val="00B92342"/>
    <w:rsid w:val="00B92412"/>
    <w:rsid w:val="00B92971"/>
    <w:rsid w:val="00B92D1A"/>
    <w:rsid w:val="00B93445"/>
    <w:rsid w:val="00B939A1"/>
    <w:rsid w:val="00B93B87"/>
    <w:rsid w:val="00B9431E"/>
    <w:rsid w:val="00B9465D"/>
    <w:rsid w:val="00B9473D"/>
    <w:rsid w:val="00B94881"/>
    <w:rsid w:val="00B94C4F"/>
    <w:rsid w:val="00B9517B"/>
    <w:rsid w:val="00B95517"/>
    <w:rsid w:val="00B95C12"/>
    <w:rsid w:val="00B95EE6"/>
    <w:rsid w:val="00B961F1"/>
    <w:rsid w:val="00B96885"/>
    <w:rsid w:val="00B96B97"/>
    <w:rsid w:val="00B96C4E"/>
    <w:rsid w:val="00B973E7"/>
    <w:rsid w:val="00B979CC"/>
    <w:rsid w:val="00B97B62"/>
    <w:rsid w:val="00B97C50"/>
    <w:rsid w:val="00BA0024"/>
    <w:rsid w:val="00BA0AC7"/>
    <w:rsid w:val="00BA11F8"/>
    <w:rsid w:val="00BA1434"/>
    <w:rsid w:val="00BA1865"/>
    <w:rsid w:val="00BA3212"/>
    <w:rsid w:val="00BA3B4B"/>
    <w:rsid w:val="00BA40BE"/>
    <w:rsid w:val="00BA4564"/>
    <w:rsid w:val="00BA467B"/>
    <w:rsid w:val="00BA4842"/>
    <w:rsid w:val="00BA4D41"/>
    <w:rsid w:val="00BA58AF"/>
    <w:rsid w:val="00BA58BB"/>
    <w:rsid w:val="00BA67FC"/>
    <w:rsid w:val="00BA6B8E"/>
    <w:rsid w:val="00BA7285"/>
    <w:rsid w:val="00BA7BE8"/>
    <w:rsid w:val="00BB01AF"/>
    <w:rsid w:val="00BB08F7"/>
    <w:rsid w:val="00BB0BA7"/>
    <w:rsid w:val="00BB0CA1"/>
    <w:rsid w:val="00BB133D"/>
    <w:rsid w:val="00BB1924"/>
    <w:rsid w:val="00BB26EB"/>
    <w:rsid w:val="00BB2C15"/>
    <w:rsid w:val="00BB3C8A"/>
    <w:rsid w:val="00BB4049"/>
    <w:rsid w:val="00BB5E0A"/>
    <w:rsid w:val="00BB6EA6"/>
    <w:rsid w:val="00BB7AF7"/>
    <w:rsid w:val="00BC00C1"/>
    <w:rsid w:val="00BC0230"/>
    <w:rsid w:val="00BC02CD"/>
    <w:rsid w:val="00BC0688"/>
    <w:rsid w:val="00BC1478"/>
    <w:rsid w:val="00BC1BFE"/>
    <w:rsid w:val="00BC2264"/>
    <w:rsid w:val="00BC2C3A"/>
    <w:rsid w:val="00BC3CE2"/>
    <w:rsid w:val="00BC3E3B"/>
    <w:rsid w:val="00BC450A"/>
    <w:rsid w:val="00BC52DE"/>
    <w:rsid w:val="00BC5902"/>
    <w:rsid w:val="00BC66E0"/>
    <w:rsid w:val="00BC69C6"/>
    <w:rsid w:val="00BC7775"/>
    <w:rsid w:val="00BC7956"/>
    <w:rsid w:val="00BD02E6"/>
    <w:rsid w:val="00BD065D"/>
    <w:rsid w:val="00BD0CF8"/>
    <w:rsid w:val="00BD0DDA"/>
    <w:rsid w:val="00BD1252"/>
    <w:rsid w:val="00BD1469"/>
    <w:rsid w:val="00BD154F"/>
    <w:rsid w:val="00BD1FF6"/>
    <w:rsid w:val="00BD2256"/>
    <w:rsid w:val="00BD24B6"/>
    <w:rsid w:val="00BD3080"/>
    <w:rsid w:val="00BD3124"/>
    <w:rsid w:val="00BD316A"/>
    <w:rsid w:val="00BD33EC"/>
    <w:rsid w:val="00BD3A94"/>
    <w:rsid w:val="00BD43BD"/>
    <w:rsid w:val="00BD4CF5"/>
    <w:rsid w:val="00BD4E2B"/>
    <w:rsid w:val="00BD5C38"/>
    <w:rsid w:val="00BD63D6"/>
    <w:rsid w:val="00BD6C08"/>
    <w:rsid w:val="00BD7247"/>
    <w:rsid w:val="00BD72A6"/>
    <w:rsid w:val="00BD762F"/>
    <w:rsid w:val="00BD7D70"/>
    <w:rsid w:val="00BE087F"/>
    <w:rsid w:val="00BE09C7"/>
    <w:rsid w:val="00BE12EF"/>
    <w:rsid w:val="00BE1BBB"/>
    <w:rsid w:val="00BE22E8"/>
    <w:rsid w:val="00BE2ACB"/>
    <w:rsid w:val="00BE3013"/>
    <w:rsid w:val="00BE32AC"/>
    <w:rsid w:val="00BE367D"/>
    <w:rsid w:val="00BE3CB6"/>
    <w:rsid w:val="00BE4035"/>
    <w:rsid w:val="00BE4239"/>
    <w:rsid w:val="00BE4A58"/>
    <w:rsid w:val="00BE4B70"/>
    <w:rsid w:val="00BE4C67"/>
    <w:rsid w:val="00BE5120"/>
    <w:rsid w:val="00BE5756"/>
    <w:rsid w:val="00BE576D"/>
    <w:rsid w:val="00BE59DD"/>
    <w:rsid w:val="00BE5BE1"/>
    <w:rsid w:val="00BE64BF"/>
    <w:rsid w:val="00BE654A"/>
    <w:rsid w:val="00BE6653"/>
    <w:rsid w:val="00BE7B46"/>
    <w:rsid w:val="00BE7D9A"/>
    <w:rsid w:val="00BF02D4"/>
    <w:rsid w:val="00BF0724"/>
    <w:rsid w:val="00BF15B9"/>
    <w:rsid w:val="00BF1896"/>
    <w:rsid w:val="00BF2673"/>
    <w:rsid w:val="00BF324E"/>
    <w:rsid w:val="00BF329F"/>
    <w:rsid w:val="00BF3693"/>
    <w:rsid w:val="00BF45A7"/>
    <w:rsid w:val="00BF4674"/>
    <w:rsid w:val="00BF47B7"/>
    <w:rsid w:val="00BF5020"/>
    <w:rsid w:val="00BF55BA"/>
    <w:rsid w:val="00BF58F2"/>
    <w:rsid w:val="00BF590D"/>
    <w:rsid w:val="00BF5981"/>
    <w:rsid w:val="00BF5F58"/>
    <w:rsid w:val="00BF6637"/>
    <w:rsid w:val="00BF756C"/>
    <w:rsid w:val="00C024DF"/>
    <w:rsid w:val="00C028F9"/>
    <w:rsid w:val="00C0308D"/>
    <w:rsid w:val="00C035A7"/>
    <w:rsid w:val="00C0387C"/>
    <w:rsid w:val="00C03D79"/>
    <w:rsid w:val="00C04012"/>
    <w:rsid w:val="00C0465F"/>
    <w:rsid w:val="00C04A2A"/>
    <w:rsid w:val="00C04FA3"/>
    <w:rsid w:val="00C051F1"/>
    <w:rsid w:val="00C05216"/>
    <w:rsid w:val="00C05754"/>
    <w:rsid w:val="00C0586E"/>
    <w:rsid w:val="00C05C1A"/>
    <w:rsid w:val="00C05F6F"/>
    <w:rsid w:val="00C06021"/>
    <w:rsid w:val="00C06091"/>
    <w:rsid w:val="00C068B6"/>
    <w:rsid w:val="00C07269"/>
    <w:rsid w:val="00C075A9"/>
    <w:rsid w:val="00C077A9"/>
    <w:rsid w:val="00C10C63"/>
    <w:rsid w:val="00C10D34"/>
    <w:rsid w:val="00C10DB6"/>
    <w:rsid w:val="00C11612"/>
    <w:rsid w:val="00C11B8C"/>
    <w:rsid w:val="00C12101"/>
    <w:rsid w:val="00C1230F"/>
    <w:rsid w:val="00C12EC3"/>
    <w:rsid w:val="00C134DF"/>
    <w:rsid w:val="00C137E0"/>
    <w:rsid w:val="00C13810"/>
    <w:rsid w:val="00C13934"/>
    <w:rsid w:val="00C13B21"/>
    <w:rsid w:val="00C13BCE"/>
    <w:rsid w:val="00C14234"/>
    <w:rsid w:val="00C14C9F"/>
    <w:rsid w:val="00C155CC"/>
    <w:rsid w:val="00C15941"/>
    <w:rsid w:val="00C15ABB"/>
    <w:rsid w:val="00C160D1"/>
    <w:rsid w:val="00C168BD"/>
    <w:rsid w:val="00C16B20"/>
    <w:rsid w:val="00C16E20"/>
    <w:rsid w:val="00C170CD"/>
    <w:rsid w:val="00C175D6"/>
    <w:rsid w:val="00C17EE4"/>
    <w:rsid w:val="00C2047B"/>
    <w:rsid w:val="00C20A4F"/>
    <w:rsid w:val="00C212A5"/>
    <w:rsid w:val="00C21801"/>
    <w:rsid w:val="00C21EE3"/>
    <w:rsid w:val="00C22FF7"/>
    <w:rsid w:val="00C2304D"/>
    <w:rsid w:val="00C236EB"/>
    <w:rsid w:val="00C23BE9"/>
    <w:rsid w:val="00C24016"/>
    <w:rsid w:val="00C24904"/>
    <w:rsid w:val="00C2541E"/>
    <w:rsid w:val="00C25F86"/>
    <w:rsid w:val="00C2649C"/>
    <w:rsid w:val="00C26623"/>
    <w:rsid w:val="00C26685"/>
    <w:rsid w:val="00C26D74"/>
    <w:rsid w:val="00C30824"/>
    <w:rsid w:val="00C30F87"/>
    <w:rsid w:val="00C31595"/>
    <w:rsid w:val="00C31BD5"/>
    <w:rsid w:val="00C31BF8"/>
    <w:rsid w:val="00C3273C"/>
    <w:rsid w:val="00C32EC2"/>
    <w:rsid w:val="00C3307F"/>
    <w:rsid w:val="00C3319F"/>
    <w:rsid w:val="00C33D18"/>
    <w:rsid w:val="00C33F77"/>
    <w:rsid w:val="00C348FF"/>
    <w:rsid w:val="00C34CC3"/>
    <w:rsid w:val="00C34F30"/>
    <w:rsid w:val="00C363E7"/>
    <w:rsid w:val="00C3640A"/>
    <w:rsid w:val="00C36F96"/>
    <w:rsid w:val="00C3796D"/>
    <w:rsid w:val="00C4006C"/>
    <w:rsid w:val="00C4057F"/>
    <w:rsid w:val="00C40753"/>
    <w:rsid w:val="00C40815"/>
    <w:rsid w:val="00C40B89"/>
    <w:rsid w:val="00C40B90"/>
    <w:rsid w:val="00C41BEB"/>
    <w:rsid w:val="00C427A2"/>
    <w:rsid w:val="00C42E64"/>
    <w:rsid w:val="00C42FF6"/>
    <w:rsid w:val="00C43C61"/>
    <w:rsid w:val="00C43F21"/>
    <w:rsid w:val="00C441C2"/>
    <w:rsid w:val="00C4421D"/>
    <w:rsid w:val="00C46397"/>
    <w:rsid w:val="00C47B24"/>
    <w:rsid w:val="00C50040"/>
    <w:rsid w:val="00C507A3"/>
    <w:rsid w:val="00C5183A"/>
    <w:rsid w:val="00C51B9C"/>
    <w:rsid w:val="00C51BEC"/>
    <w:rsid w:val="00C521AE"/>
    <w:rsid w:val="00C52B13"/>
    <w:rsid w:val="00C54A87"/>
    <w:rsid w:val="00C55428"/>
    <w:rsid w:val="00C55D3D"/>
    <w:rsid w:val="00C55DE1"/>
    <w:rsid w:val="00C56679"/>
    <w:rsid w:val="00C568CE"/>
    <w:rsid w:val="00C56978"/>
    <w:rsid w:val="00C56A7A"/>
    <w:rsid w:val="00C56BC5"/>
    <w:rsid w:val="00C56DB7"/>
    <w:rsid w:val="00C572FF"/>
    <w:rsid w:val="00C57991"/>
    <w:rsid w:val="00C60B64"/>
    <w:rsid w:val="00C60D23"/>
    <w:rsid w:val="00C6101E"/>
    <w:rsid w:val="00C613E0"/>
    <w:rsid w:val="00C615B8"/>
    <w:rsid w:val="00C61AFD"/>
    <w:rsid w:val="00C62D67"/>
    <w:rsid w:val="00C6356B"/>
    <w:rsid w:val="00C64963"/>
    <w:rsid w:val="00C652E2"/>
    <w:rsid w:val="00C653FB"/>
    <w:rsid w:val="00C656E5"/>
    <w:rsid w:val="00C65CBF"/>
    <w:rsid w:val="00C66344"/>
    <w:rsid w:val="00C66375"/>
    <w:rsid w:val="00C667D0"/>
    <w:rsid w:val="00C66AD7"/>
    <w:rsid w:val="00C66CDE"/>
    <w:rsid w:val="00C66D7C"/>
    <w:rsid w:val="00C66E3C"/>
    <w:rsid w:val="00C67EA5"/>
    <w:rsid w:val="00C70107"/>
    <w:rsid w:val="00C70449"/>
    <w:rsid w:val="00C70759"/>
    <w:rsid w:val="00C70E36"/>
    <w:rsid w:val="00C71279"/>
    <w:rsid w:val="00C71351"/>
    <w:rsid w:val="00C71A08"/>
    <w:rsid w:val="00C723C0"/>
    <w:rsid w:val="00C72625"/>
    <w:rsid w:val="00C7271D"/>
    <w:rsid w:val="00C72B6C"/>
    <w:rsid w:val="00C7375A"/>
    <w:rsid w:val="00C73FAB"/>
    <w:rsid w:val="00C74CF6"/>
    <w:rsid w:val="00C75A01"/>
    <w:rsid w:val="00C75BCA"/>
    <w:rsid w:val="00C75C66"/>
    <w:rsid w:val="00C75DB6"/>
    <w:rsid w:val="00C76E04"/>
    <w:rsid w:val="00C76FB0"/>
    <w:rsid w:val="00C77D93"/>
    <w:rsid w:val="00C80E58"/>
    <w:rsid w:val="00C81278"/>
    <w:rsid w:val="00C81A2C"/>
    <w:rsid w:val="00C8285E"/>
    <w:rsid w:val="00C82F2D"/>
    <w:rsid w:val="00C83260"/>
    <w:rsid w:val="00C836F0"/>
    <w:rsid w:val="00C8383B"/>
    <w:rsid w:val="00C8398B"/>
    <w:rsid w:val="00C84318"/>
    <w:rsid w:val="00C856BE"/>
    <w:rsid w:val="00C85CAE"/>
    <w:rsid w:val="00C85F2C"/>
    <w:rsid w:val="00C8734C"/>
    <w:rsid w:val="00C87A9E"/>
    <w:rsid w:val="00C904E4"/>
    <w:rsid w:val="00C90BC4"/>
    <w:rsid w:val="00C91633"/>
    <w:rsid w:val="00C935B7"/>
    <w:rsid w:val="00C9382C"/>
    <w:rsid w:val="00C94BAE"/>
    <w:rsid w:val="00C94C71"/>
    <w:rsid w:val="00C94F15"/>
    <w:rsid w:val="00C94F74"/>
    <w:rsid w:val="00C954BD"/>
    <w:rsid w:val="00C95615"/>
    <w:rsid w:val="00C95C3B"/>
    <w:rsid w:val="00C97517"/>
    <w:rsid w:val="00C979BC"/>
    <w:rsid w:val="00C97CC0"/>
    <w:rsid w:val="00C97D75"/>
    <w:rsid w:val="00CA0261"/>
    <w:rsid w:val="00CA04BA"/>
    <w:rsid w:val="00CA136D"/>
    <w:rsid w:val="00CA147B"/>
    <w:rsid w:val="00CA2400"/>
    <w:rsid w:val="00CA24A1"/>
    <w:rsid w:val="00CA2AC9"/>
    <w:rsid w:val="00CA2D7A"/>
    <w:rsid w:val="00CA3BBE"/>
    <w:rsid w:val="00CA3CDB"/>
    <w:rsid w:val="00CA47F5"/>
    <w:rsid w:val="00CA4CA2"/>
    <w:rsid w:val="00CA5368"/>
    <w:rsid w:val="00CA6310"/>
    <w:rsid w:val="00CA6776"/>
    <w:rsid w:val="00CB0113"/>
    <w:rsid w:val="00CB058C"/>
    <w:rsid w:val="00CB0939"/>
    <w:rsid w:val="00CB0BE4"/>
    <w:rsid w:val="00CB121D"/>
    <w:rsid w:val="00CB146E"/>
    <w:rsid w:val="00CB14A4"/>
    <w:rsid w:val="00CB2CCA"/>
    <w:rsid w:val="00CB30D0"/>
    <w:rsid w:val="00CB37A5"/>
    <w:rsid w:val="00CB3C01"/>
    <w:rsid w:val="00CB3EBC"/>
    <w:rsid w:val="00CB44B7"/>
    <w:rsid w:val="00CB493B"/>
    <w:rsid w:val="00CB4EC9"/>
    <w:rsid w:val="00CB5187"/>
    <w:rsid w:val="00CB5211"/>
    <w:rsid w:val="00CB570A"/>
    <w:rsid w:val="00CB679C"/>
    <w:rsid w:val="00CB6A84"/>
    <w:rsid w:val="00CB6A85"/>
    <w:rsid w:val="00CB7121"/>
    <w:rsid w:val="00CB7364"/>
    <w:rsid w:val="00CB7C4A"/>
    <w:rsid w:val="00CB7DD9"/>
    <w:rsid w:val="00CB7ECC"/>
    <w:rsid w:val="00CC00DA"/>
    <w:rsid w:val="00CC0B1E"/>
    <w:rsid w:val="00CC0C76"/>
    <w:rsid w:val="00CC1475"/>
    <w:rsid w:val="00CC1632"/>
    <w:rsid w:val="00CC1DED"/>
    <w:rsid w:val="00CC319E"/>
    <w:rsid w:val="00CC336D"/>
    <w:rsid w:val="00CC340A"/>
    <w:rsid w:val="00CC36E9"/>
    <w:rsid w:val="00CC5AA0"/>
    <w:rsid w:val="00CC669A"/>
    <w:rsid w:val="00CC69B1"/>
    <w:rsid w:val="00CC75B6"/>
    <w:rsid w:val="00CC779B"/>
    <w:rsid w:val="00CD2730"/>
    <w:rsid w:val="00CD28B2"/>
    <w:rsid w:val="00CD2DD0"/>
    <w:rsid w:val="00CD2E3B"/>
    <w:rsid w:val="00CD33EE"/>
    <w:rsid w:val="00CD3776"/>
    <w:rsid w:val="00CD4D65"/>
    <w:rsid w:val="00CD55B1"/>
    <w:rsid w:val="00CD5680"/>
    <w:rsid w:val="00CD57E1"/>
    <w:rsid w:val="00CD59A3"/>
    <w:rsid w:val="00CD648D"/>
    <w:rsid w:val="00CD6B80"/>
    <w:rsid w:val="00CD7616"/>
    <w:rsid w:val="00CD775A"/>
    <w:rsid w:val="00CE01B5"/>
    <w:rsid w:val="00CE021F"/>
    <w:rsid w:val="00CE0B98"/>
    <w:rsid w:val="00CE1CD1"/>
    <w:rsid w:val="00CE2312"/>
    <w:rsid w:val="00CE2620"/>
    <w:rsid w:val="00CE336E"/>
    <w:rsid w:val="00CE374F"/>
    <w:rsid w:val="00CE384F"/>
    <w:rsid w:val="00CE3CDF"/>
    <w:rsid w:val="00CE3D08"/>
    <w:rsid w:val="00CE3E07"/>
    <w:rsid w:val="00CE3FEE"/>
    <w:rsid w:val="00CE455E"/>
    <w:rsid w:val="00CE47B3"/>
    <w:rsid w:val="00CE4F0D"/>
    <w:rsid w:val="00CE6640"/>
    <w:rsid w:val="00CE6768"/>
    <w:rsid w:val="00CE68A3"/>
    <w:rsid w:val="00CE7175"/>
    <w:rsid w:val="00CE79A8"/>
    <w:rsid w:val="00CE7E34"/>
    <w:rsid w:val="00CF0639"/>
    <w:rsid w:val="00CF0AE5"/>
    <w:rsid w:val="00CF14A0"/>
    <w:rsid w:val="00CF1737"/>
    <w:rsid w:val="00CF19DF"/>
    <w:rsid w:val="00CF1F8D"/>
    <w:rsid w:val="00CF2172"/>
    <w:rsid w:val="00CF25F6"/>
    <w:rsid w:val="00CF2BBB"/>
    <w:rsid w:val="00CF366B"/>
    <w:rsid w:val="00CF3B6C"/>
    <w:rsid w:val="00CF4074"/>
    <w:rsid w:val="00CF4810"/>
    <w:rsid w:val="00CF4D38"/>
    <w:rsid w:val="00CF4F1F"/>
    <w:rsid w:val="00CF4F47"/>
    <w:rsid w:val="00CF5030"/>
    <w:rsid w:val="00CF6A40"/>
    <w:rsid w:val="00CF6E9D"/>
    <w:rsid w:val="00CF6ED0"/>
    <w:rsid w:val="00CF7193"/>
    <w:rsid w:val="00CF76A0"/>
    <w:rsid w:val="00CF78CE"/>
    <w:rsid w:val="00D0026D"/>
    <w:rsid w:val="00D005B4"/>
    <w:rsid w:val="00D00784"/>
    <w:rsid w:val="00D00BC5"/>
    <w:rsid w:val="00D019EA"/>
    <w:rsid w:val="00D01AD1"/>
    <w:rsid w:val="00D02277"/>
    <w:rsid w:val="00D022F4"/>
    <w:rsid w:val="00D02BB4"/>
    <w:rsid w:val="00D03128"/>
    <w:rsid w:val="00D03153"/>
    <w:rsid w:val="00D033C8"/>
    <w:rsid w:val="00D03957"/>
    <w:rsid w:val="00D03B43"/>
    <w:rsid w:val="00D03C14"/>
    <w:rsid w:val="00D046B2"/>
    <w:rsid w:val="00D04B2D"/>
    <w:rsid w:val="00D04C84"/>
    <w:rsid w:val="00D052B0"/>
    <w:rsid w:val="00D058FD"/>
    <w:rsid w:val="00D05F86"/>
    <w:rsid w:val="00D06433"/>
    <w:rsid w:val="00D07169"/>
    <w:rsid w:val="00D07583"/>
    <w:rsid w:val="00D0769F"/>
    <w:rsid w:val="00D07C40"/>
    <w:rsid w:val="00D102A5"/>
    <w:rsid w:val="00D109FA"/>
    <w:rsid w:val="00D11712"/>
    <w:rsid w:val="00D11EC0"/>
    <w:rsid w:val="00D120D2"/>
    <w:rsid w:val="00D1301C"/>
    <w:rsid w:val="00D131D1"/>
    <w:rsid w:val="00D13294"/>
    <w:rsid w:val="00D13666"/>
    <w:rsid w:val="00D13CB3"/>
    <w:rsid w:val="00D14D12"/>
    <w:rsid w:val="00D14EF2"/>
    <w:rsid w:val="00D15411"/>
    <w:rsid w:val="00D16B43"/>
    <w:rsid w:val="00D171C8"/>
    <w:rsid w:val="00D17C55"/>
    <w:rsid w:val="00D20137"/>
    <w:rsid w:val="00D208E6"/>
    <w:rsid w:val="00D20B09"/>
    <w:rsid w:val="00D21A55"/>
    <w:rsid w:val="00D223FB"/>
    <w:rsid w:val="00D224AD"/>
    <w:rsid w:val="00D22651"/>
    <w:rsid w:val="00D23AD0"/>
    <w:rsid w:val="00D23B0A"/>
    <w:rsid w:val="00D24239"/>
    <w:rsid w:val="00D24BAF"/>
    <w:rsid w:val="00D24C26"/>
    <w:rsid w:val="00D255C6"/>
    <w:rsid w:val="00D2620A"/>
    <w:rsid w:val="00D27091"/>
    <w:rsid w:val="00D277EE"/>
    <w:rsid w:val="00D309DD"/>
    <w:rsid w:val="00D30C66"/>
    <w:rsid w:val="00D31163"/>
    <w:rsid w:val="00D31D60"/>
    <w:rsid w:val="00D3238A"/>
    <w:rsid w:val="00D3330C"/>
    <w:rsid w:val="00D3330E"/>
    <w:rsid w:val="00D3349D"/>
    <w:rsid w:val="00D33682"/>
    <w:rsid w:val="00D34598"/>
    <w:rsid w:val="00D34B22"/>
    <w:rsid w:val="00D3511A"/>
    <w:rsid w:val="00D35F28"/>
    <w:rsid w:val="00D3672A"/>
    <w:rsid w:val="00D368A2"/>
    <w:rsid w:val="00D368FF"/>
    <w:rsid w:val="00D36D8E"/>
    <w:rsid w:val="00D37142"/>
    <w:rsid w:val="00D372A0"/>
    <w:rsid w:val="00D374D1"/>
    <w:rsid w:val="00D37596"/>
    <w:rsid w:val="00D37899"/>
    <w:rsid w:val="00D37FCE"/>
    <w:rsid w:val="00D40238"/>
    <w:rsid w:val="00D40D79"/>
    <w:rsid w:val="00D4117C"/>
    <w:rsid w:val="00D41258"/>
    <w:rsid w:val="00D432D3"/>
    <w:rsid w:val="00D43430"/>
    <w:rsid w:val="00D43441"/>
    <w:rsid w:val="00D439C3"/>
    <w:rsid w:val="00D43F3D"/>
    <w:rsid w:val="00D449C6"/>
    <w:rsid w:val="00D44A3B"/>
    <w:rsid w:val="00D451A0"/>
    <w:rsid w:val="00D451C2"/>
    <w:rsid w:val="00D45385"/>
    <w:rsid w:val="00D45546"/>
    <w:rsid w:val="00D45C34"/>
    <w:rsid w:val="00D4777F"/>
    <w:rsid w:val="00D478D3"/>
    <w:rsid w:val="00D5062B"/>
    <w:rsid w:val="00D50975"/>
    <w:rsid w:val="00D50B46"/>
    <w:rsid w:val="00D50B72"/>
    <w:rsid w:val="00D51867"/>
    <w:rsid w:val="00D51AC9"/>
    <w:rsid w:val="00D51AD4"/>
    <w:rsid w:val="00D52DBB"/>
    <w:rsid w:val="00D531B6"/>
    <w:rsid w:val="00D53530"/>
    <w:rsid w:val="00D5418D"/>
    <w:rsid w:val="00D541EF"/>
    <w:rsid w:val="00D54B76"/>
    <w:rsid w:val="00D54E08"/>
    <w:rsid w:val="00D5508A"/>
    <w:rsid w:val="00D55828"/>
    <w:rsid w:val="00D55C1D"/>
    <w:rsid w:val="00D55FD4"/>
    <w:rsid w:val="00D56305"/>
    <w:rsid w:val="00D566F1"/>
    <w:rsid w:val="00D57388"/>
    <w:rsid w:val="00D5765B"/>
    <w:rsid w:val="00D601FE"/>
    <w:rsid w:val="00D61A0D"/>
    <w:rsid w:val="00D63F0E"/>
    <w:rsid w:val="00D63F45"/>
    <w:rsid w:val="00D64048"/>
    <w:rsid w:val="00D645A6"/>
    <w:rsid w:val="00D64E9D"/>
    <w:rsid w:val="00D65A11"/>
    <w:rsid w:val="00D65B91"/>
    <w:rsid w:val="00D66659"/>
    <w:rsid w:val="00D66CD5"/>
    <w:rsid w:val="00D6707F"/>
    <w:rsid w:val="00D67145"/>
    <w:rsid w:val="00D70C1D"/>
    <w:rsid w:val="00D70FF2"/>
    <w:rsid w:val="00D7160F"/>
    <w:rsid w:val="00D7197E"/>
    <w:rsid w:val="00D71EB9"/>
    <w:rsid w:val="00D726FD"/>
    <w:rsid w:val="00D72C26"/>
    <w:rsid w:val="00D73288"/>
    <w:rsid w:val="00D73686"/>
    <w:rsid w:val="00D7371E"/>
    <w:rsid w:val="00D73EF2"/>
    <w:rsid w:val="00D741DB"/>
    <w:rsid w:val="00D742A0"/>
    <w:rsid w:val="00D74E88"/>
    <w:rsid w:val="00D75216"/>
    <w:rsid w:val="00D756A7"/>
    <w:rsid w:val="00D75D33"/>
    <w:rsid w:val="00D75E56"/>
    <w:rsid w:val="00D763AE"/>
    <w:rsid w:val="00D76CD8"/>
    <w:rsid w:val="00D77919"/>
    <w:rsid w:val="00D779D4"/>
    <w:rsid w:val="00D8135D"/>
    <w:rsid w:val="00D8158C"/>
    <w:rsid w:val="00D81ED6"/>
    <w:rsid w:val="00D82533"/>
    <w:rsid w:val="00D834FC"/>
    <w:rsid w:val="00D8359E"/>
    <w:rsid w:val="00D8512B"/>
    <w:rsid w:val="00D852FD"/>
    <w:rsid w:val="00D853D6"/>
    <w:rsid w:val="00D857FE"/>
    <w:rsid w:val="00D859D8"/>
    <w:rsid w:val="00D8686B"/>
    <w:rsid w:val="00D86F69"/>
    <w:rsid w:val="00D86F82"/>
    <w:rsid w:val="00D87458"/>
    <w:rsid w:val="00D87A74"/>
    <w:rsid w:val="00D901F7"/>
    <w:rsid w:val="00D90311"/>
    <w:rsid w:val="00D907F2"/>
    <w:rsid w:val="00D910E2"/>
    <w:rsid w:val="00D913F3"/>
    <w:rsid w:val="00D915FF"/>
    <w:rsid w:val="00D91CC6"/>
    <w:rsid w:val="00D92BBF"/>
    <w:rsid w:val="00D933F6"/>
    <w:rsid w:val="00D9398B"/>
    <w:rsid w:val="00D93F68"/>
    <w:rsid w:val="00D94010"/>
    <w:rsid w:val="00D948C4"/>
    <w:rsid w:val="00D94A97"/>
    <w:rsid w:val="00D94E85"/>
    <w:rsid w:val="00D95178"/>
    <w:rsid w:val="00D962CF"/>
    <w:rsid w:val="00D9652E"/>
    <w:rsid w:val="00D96531"/>
    <w:rsid w:val="00DA0A11"/>
    <w:rsid w:val="00DA130C"/>
    <w:rsid w:val="00DA26B3"/>
    <w:rsid w:val="00DA2FCF"/>
    <w:rsid w:val="00DA3113"/>
    <w:rsid w:val="00DA3199"/>
    <w:rsid w:val="00DA38EC"/>
    <w:rsid w:val="00DA3AAC"/>
    <w:rsid w:val="00DA43EB"/>
    <w:rsid w:val="00DA445E"/>
    <w:rsid w:val="00DA465F"/>
    <w:rsid w:val="00DA4823"/>
    <w:rsid w:val="00DA4E2E"/>
    <w:rsid w:val="00DA4E74"/>
    <w:rsid w:val="00DA518C"/>
    <w:rsid w:val="00DA542C"/>
    <w:rsid w:val="00DA5A21"/>
    <w:rsid w:val="00DA5B16"/>
    <w:rsid w:val="00DA602B"/>
    <w:rsid w:val="00DA6B9A"/>
    <w:rsid w:val="00DA6CF1"/>
    <w:rsid w:val="00DA77DE"/>
    <w:rsid w:val="00DB099F"/>
    <w:rsid w:val="00DB1672"/>
    <w:rsid w:val="00DB2AEF"/>
    <w:rsid w:val="00DB2B51"/>
    <w:rsid w:val="00DB341C"/>
    <w:rsid w:val="00DB382B"/>
    <w:rsid w:val="00DB40CF"/>
    <w:rsid w:val="00DB4525"/>
    <w:rsid w:val="00DB47A5"/>
    <w:rsid w:val="00DB4BD3"/>
    <w:rsid w:val="00DB4D17"/>
    <w:rsid w:val="00DB5175"/>
    <w:rsid w:val="00DB614A"/>
    <w:rsid w:val="00DB6DD3"/>
    <w:rsid w:val="00DB7408"/>
    <w:rsid w:val="00DB79CB"/>
    <w:rsid w:val="00DB7CED"/>
    <w:rsid w:val="00DC09FC"/>
    <w:rsid w:val="00DC102C"/>
    <w:rsid w:val="00DC1E1B"/>
    <w:rsid w:val="00DC1EC8"/>
    <w:rsid w:val="00DC23B2"/>
    <w:rsid w:val="00DC2E18"/>
    <w:rsid w:val="00DC30FE"/>
    <w:rsid w:val="00DC3512"/>
    <w:rsid w:val="00DC385E"/>
    <w:rsid w:val="00DC3EC8"/>
    <w:rsid w:val="00DC4068"/>
    <w:rsid w:val="00DC4145"/>
    <w:rsid w:val="00DC493B"/>
    <w:rsid w:val="00DC6E62"/>
    <w:rsid w:val="00DC759F"/>
    <w:rsid w:val="00DD0B51"/>
    <w:rsid w:val="00DD0BE6"/>
    <w:rsid w:val="00DD1707"/>
    <w:rsid w:val="00DD1963"/>
    <w:rsid w:val="00DD1C59"/>
    <w:rsid w:val="00DD263C"/>
    <w:rsid w:val="00DD3272"/>
    <w:rsid w:val="00DD3467"/>
    <w:rsid w:val="00DD45B5"/>
    <w:rsid w:val="00DD474F"/>
    <w:rsid w:val="00DD4834"/>
    <w:rsid w:val="00DD4A1A"/>
    <w:rsid w:val="00DD52FC"/>
    <w:rsid w:val="00DD5C3A"/>
    <w:rsid w:val="00DD5C56"/>
    <w:rsid w:val="00DD64C8"/>
    <w:rsid w:val="00DD674D"/>
    <w:rsid w:val="00DD701C"/>
    <w:rsid w:val="00DD7DA4"/>
    <w:rsid w:val="00DE0CC3"/>
    <w:rsid w:val="00DE0F83"/>
    <w:rsid w:val="00DE2C73"/>
    <w:rsid w:val="00DE3136"/>
    <w:rsid w:val="00DE39F4"/>
    <w:rsid w:val="00DE3A27"/>
    <w:rsid w:val="00DE3E54"/>
    <w:rsid w:val="00DE481E"/>
    <w:rsid w:val="00DE4EA8"/>
    <w:rsid w:val="00DE50FD"/>
    <w:rsid w:val="00DE587D"/>
    <w:rsid w:val="00DE6805"/>
    <w:rsid w:val="00DE7807"/>
    <w:rsid w:val="00DF0D0A"/>
    <w:rsid w:val="00DF1211"/>
    <w:rsid w:val="00DF1385"/>
    <w:rsid w:val="00DF1FB9"/>
    <w:rsid w:val="00DF2469"/>
    <w:rsid w:val="00DF2EB3"/>
    <w:rsid w:val="00DF316E"/>
    <w:rsid w:val="00DF38F4"/>
    <w:rsid w:val="00DF41FB"/>
    <w:rsid w:val="00DF44E2"/>
    <w:rsid w:val="00DF465A"/>
    <w:rsid w:val="00DF58E5"/>
    <w:rsid w:val="00DF5BC6"/>
    <w:rsid w:val="00DF6527"/>
    <w:rsid w:val="00DF79E1"/>
    <w:rsid w:val="00DF7E57"/>
    <w:rsid w:val="00E000D0"/>
    <w:rsid w:val="00E00F2E"/>
    <w:rsid w:val="00E01525"/>
    <w:rsid w:val="00E0160E"/>
    <w:rsid w:val="00E0186E"/>
    <w:rsid w:val="00E01FE1"/>
    <w:rsid w:val="00E024B2"/>
    <w:rsid w:val="00E025CC"/>
    <w:rsid w:val="00E02F55"/>
    <w:rsid w:val="00E02FCC"/>
    <w:rsid w:val="00E03063"/>
    <w:rsid w:val="00E036B3"/>
    <w:rsid w:val="00E044C5"/>
    <w:rsid w:val="00E051B1"/>
    <w:rsid w:val="00E057EA"/>
    <w:rsid w:val="00E05E00"/>
    <w:rsid w:val="00E06357"/>
    <w:rsid w:val="00E0667E"/>
    <w:rsid w:val="00E06F09"/>
    <w:rsid w:val="00E06FAA"/>
    <w:rsid w:val="00E073FE"/>
    <w:rsid w:val="00E078A6"/>
    <w:rsid w:val="00E07916"/>
    <w:rsid w:val="00E07AA2"/>
    <w:rsid w:val="00E1015B"/>
    <w:rsid w:val="00E106AE"/>
    <w:rsid w:val="00E10723"/>
    <w:rsid w:val="00E11236"/>
    <w:rsid w:val="00E1164D"/>
    <w:rsid w:val="00E11A5C"/>
    <w:rsid w:val="00E11CCB"/>
    <w:rsid w:val="00E1223A"/>
    <w:rsid w:val="00E122A9"/>
    <w:rsid w:val="00E12447"/>
    <w:rsid w:val="00E12ABE"/>
    <w:rsid w:val="00E12E0E"/>
    <w:rsid w:val="00E12FC7"/>
    <w:rsid w:val="00E1415F"/>
    <w:rsid w:val="00E15141"/>
    <w:rsid w:val="00E15683"/>
    <w:rsid w:val="00E1603D"/>
    <w:rsid w:val="00E163D8"/>
    <w:rsid w:val="00E17778"/>
    <w:rsid w:val="00E1784D"/>
    <w:rsid w:val="00E17E95"/>
    <w:rsid w:val="00E20A95"/>
    <w:rsid w:val="00E20E02"/>
    <w:rsid w:val="00E20FC9"/>
    <w:rsid w:val="00E21BD1"/>
    <w:rsid w:val="00E22146"/>
    <w:rsid w:val="00E222DF"/>
    <w:rsid w:val="00E2282E"/>
    <w:rsid w:val="00E2294D"/>
    <w:rsid w:val="00E2297A"/>
    <w:rsid w:val="00E229C1"/>
    <w:rsid w:val="00E22C09"/>
    <w:rsid w:val="00E2339C"/>
    <w:rsid w:val="00E238C8"/>
    <w:rsid w:val="00E239E9"/>
    <w:rsid w:val="00E23DA4"/>
    <w:rsid w:val="00E23FAE"/>
    <w:rsid w:val="00E248F0"/>
    <w:rsid w:val="00E254BE"/>
    <w:rsid w:val="00E25A83"/>
    <w:rsid w:val="00E2796A"/>
    <w:rsid w:val="00E30003"/>
    <w:rsid w:val="00E313CE"/>
    <w:rsid w:val="00E31F09"/>
    <w:rsid w:val="00E320DB"/>
    <w:rsid w:val="00E32340"/>
    <w:rsid w:val="00E32733"/>
    <w:rsid w:val="00E331D5"/>
    <w:rsid w:val="00E33AB2"/>
    <w:rsid w:val="00E33B65"/>
    <w:rsid w:val="00E33E69"/>
    <w:rsid w:val="00E3497F"/>
    <w:rsid w:val="00E34E6A"/>
    <w:rsid w:val="00E34F1E"/>
    <w:rsid w:val="00E35359"/>
    <w:rsid w:val="00E35931"/>
    <w:rsid w:val="00E35D96"/>
    <w:rsid w:val="00E35F0A"/>
    <w:rsid w:val="00E363CF"/>
    <w:rsid w:val="00E36C49"/>
    <w:rsid w:val="00E36D49"/>
    <w:rsid w:val="00E36E14"/>
    <w:rsid w:val="00E37673"/>
    <w:rsid w:val="00E408E9"/>
    <w:rsid w:val="00E413F2"/>
    <w:rsid w:val="00E418F1"/>
    <w:rsid w:val="00E419DB"/>
    <w:rsid w:val="00E41C29"/>
    <w:rsid w:val="00E41D45"/>
    <w:rsid w:val="00E4238A"/>
    <w:rsid w:val="00E4324D"/>
    <w:rsid w:val="00E433F1"/>
    <w:rsid w:val="00E4443F"/>
    <w:rsid w:val="00E44935"/>
    <w:rsid w:val="00E4496D"/>
    <w:rsid w:val="00E4579A"/>
    <w:rsid w:val="00E46771"/>
    <w:rsid w:val="00E46958"/>
    <w:rsid w:val="00E46C4C"/>
    <w:rsid w:val="00E46E0B"/>
    <w:rsid w:val="00E471ED"/>
    <w:rsid w:val="00E478DA"/>
    <w:rsid w:val="00E479FF"/>
    <w:rsid w:val="00E47A53"/>
    <w:rsid w:val="00E5076A"/>
    <w:rsid w:val="00E50E1F"/>
    <w:rsid w:val="00E5109D"/>
    <w:rsid w:val="00E528AD"/>
    <w:rsid w:val="00E52A22"/>
    <w:rsid w:val="00E53041"/>
    <w:rsid w:val="00E535C2"/>
    <w:rsid w:val="00E53728"/>
    <w:rsid w:val="00E53914"/>
    <w:rsid w:val="00E5696B"/>
    <w:rsid w:val="00E60221"/>
    <w:rsid w:val="00E6098E"/>
    <w:rsid w:val="00E60A5A"/>
    <w:rsid w:val="00E61389"/>
    <w:rsid w:val="00E61780"/>
    <w:rsid w:val="00E62796"/>
    <w:rsid w:val="00E6301A"/>
    <w:rsid w:val="00E65663"/>
    <w:rsid w:val="00E661DB"/>
    <w:rsid w:val="00E66781"/>
    <w:rsid w:val="00E66C88"/>
    <w:rsid w:val="00E67D73"/>
    <w:rsid w:val="00E67D7A"/>
    <w:rsid w:val="00E70710"/>
    <w:rsid w:val="00E71086"/>
    <w:rsid w:val="00E71B32"/>
    <w:rsid w:val="00E7391F"/>
    <w:rsid w:val="00E745BB"/>
    <w:rsid w:val="00E76596"/>
    <w:rsid w:val="00E77E32"/>
    <w:rsid w:val="00E809C8"/>
    <w:rsid w:val="00E810FF"/>
    <w:rsid w:val="00E8173D"/>
    <w:rsid w:val="00E81A7E"/>
    <w:rsid w:val="00E81B11"/>
    <w:rsid w:val="00E82FC8"/>
    <w:rsid w:val="00E83069"/>
    <w:rsid w:val="00E834BF"/>
    <w:rsid w:val="00E83987"/>
    <w:rsid w:val="00E84CC4"/>
    <w:rsid w:val="00E855B1"/>
    <w:rsid w:val="00E85E67"/>
    <w:rsid w:val="00E86621"/>
    <w:rsid w:val="00E86A0D"/>
    <w:rsid w:val="00E87BD5"/>
    <w:rsid w:val="00E87C5D"/>
    <w:rsid w:val="00E87C9B"/>
    <w:rsid w:val="00E90B12"/>
    <w:rsid w:val="00E90D43"/>
    <w:rsid w:val="00E912B1"/>
    <w:rsid w:val="00E921EF"/>
    <w:rsid w:val="00E927FD"/>
    <w:rsid w:val="00E92BF5"/>
    <w:rsid w:val="00E95897"/>
    <w:rsid w:val="00E95DDA"/>
    <w:rsid w:val="00E972A2"/>
    <w:rsid w:val="00E97A7D"/>
    <w:rsid w:val="00EA03AA"/>
    <w:rsid w:val="00EA0837"/>
    <w:rsid w:val="00EA12EA"/>
    <w:rsid w:val="00EA141E"/>
    <w:rsid w:val="00EA1B41"/>
    <w:rsid w:val="00EA1DF6"/>
    <w:rsid w:val="00EA2134"/>
    <w:rsid w:val="00EA23AC"/>
    <w:rsid w:val="00EA2B29"/>
    <w:rsid w:val="00EA2BF9"/>
    <w:rsid w:val="00EA2C90"/>
    <w:rsid w:val="00EA35FC"/>
    <w:rsid w:val="00EA3942"/>
    <w:rsid w:val="00EA3F5C"/>
    <w:rsid w:val="00EA4929"/>
    <w:rsid w:val="00EA4D9C"/>
    <w:rsid w:val="00EA5A78"/>
    <w:rsid w:val="00EA5DE5"/>
    <w:rsid w:val="00EA71D3"/>
    <w:rsid w:val="00EA781C"/>
    <w:rsid w:val="00EB051D"/>
    <w:rsid w:val="00EB1072"/>
    <w:rsid w:val="00EB1A14"/>
    <w:rsid w:val="00EB1ED2"/>
    <w:rsid w:val="00EB21F9"/>
    <w:rsid w:val="00EB2610"/>
    <w:rsid w:val="00EB2D92"/>
    <w:rsid w:val="00EB3229"/>
    <w:rsid w:val="00EB341F"/>
    <w:rsid w:val="00EB36B5"/>
    <w:rsid w:val="00EB43C4"/>
    <w:rsid w:val="00EB5C2A"/>
    <w:rsid w:val="00EB686E"/>
    <w:rsid w:val="00EB6974"/>
    <w:rsid w:val="00EB6D6E"/>
    <w:rsid w:val="00EB7570"/>
    <w:rsid w:val="00EB7649"/>
    <w:rsid w:val="00EB76BD"/>
    <w:rsid w:val="00EC05A9"/>
    <w:rsid w:val="00EC07C5"/>
    <w:rsid w:val="00EC12D9"/>
    <w:rsid w:val="00EC2103"/>
    <w:rsid w:val="00EC27C8"/>
    <w:rsid w:val="00EC284D"/>
    <w:rsid w:val="00EC2BE5"/>
    <w:rsid w:val="00EC2CCA"/>
    <w:rsid w:val="00EC2E57"/>
    <w:rsid w:val="00EC2E71"/>
    <w:rsid w:val="00EC3A46"/>
    <w:rsid w:val="00EC3AA0"/>
    <w:rsid w:val="00EC4158"/>
    <w:rsid w:val="00EC4D53"/>
    <w:rsid w:val="00EC5347"/>
    <w:rsid w:val="00EC54E1"/>
    <w:rsid w:val="00EC7215"/>
    <w:rsid w:val="00EC7371"/>
    <w:rsid w:val="00EC7652"/>
    <w:rsid w:val="00EC766D"/>
    <w:rsid w:val="00EC77DC"/>
    <w:rsid w:val="00EC7835"/>
    <w:rsid w:val="00ED05EB"/>
    <w:rsid w:val="00ED0D53"/>
    <w:rsid w:val="00ED0ED2"/>
    <w:rsid w:val="00ED1938"/>
    <w:rsid w:val="00ED25BD"/>
    <w:rsid w:val="00ED3133"/>
    <w:rsid w:val="00ED3605"/>
    <w:rsid w:val="00ED3C86"/>
    <w:rsid w:val="00ED3CE8"/>
    <w:rsid w:val="00ED47E4"/>
    <w:rsid w:val="00ED4B01"/>
    <w:rsid w:val="00ED5511"/>
    <w:rsid w:val="00ED58AD"/>
    <w:rsid w:val="00ED5E13"/>
    <w:rsid w:val="00ED5E22"/>
    <w:rsid w:val="00ED6A91"/>
    <w:rsid w:val="00ED6C71"/>
    <w:rsid w:val="00ED71AE"/>
    <w:rsid w:val="00ED73A4"/>
    <w:rsid w:val="00ED7D8F"/>
    <w:rsid w:val="00EE07D2"/>
    <w:rsid w:val="00EE0D35"/>
    <w:rsid w:val="00EE1A53"/>
    <w:rsid w:val="00EE1BEE"/>
    <w:rsid w:val="00EE22A7"/>
    <w:rsid w:val="00EE3627"/>
    <w:rsid w:val="00EE39EA"/>
    <w:rsid w:val="00EE4D2B"/>
    <w:rsid w:val="00EE5D97"/>
    <w:rsid w:val="00EE5DE3"/>
    <w:rsid w:val="00EE6288"/>
    <w:rsid w:val="00EE66D4"/>
    <w:rsid w:val="00EE6911"/>
    <w:rsid w:val="00EE6B64"/>
    <w:rsid w:val="00EE6C36"/>
    <w:rsid w:val="00EE6F5D"/>
    <w:rsid w:val="00EE7616"/>
    <w:rsid w:val="00EF00D3"/>
    <w:rsid w:val="00EF0280"/>
    <w:rsid w:val="00EF0F38"/>
    <w:rsid w:val="00EF0F88"/>
    <w:rsid w:val="00EF12CC"/>
    <w:rsid w:val="00EF1613"/>
    <w:rsid w:val="00EF21B8"/>
    <w:rsid w:val="00EF21F3"/>
    <w:rsid w:val="00EF2355"/>
    <w:rsid w:val="00EF3011"/>
    <w:rsid w:val="00EF3786"/>
    <w:rsid w:val="00EF3BE1"/>
    <w:rsid w:val="00EF4351"/>
    <w:rsid w:val="00EF4927"/>
    <w:rsid w:val="00EF4B23"/>
    <w:rsid w:val="00EF50AF"/>
    <w:rsid w:val="00EF5363"/>
    <w:rsid w:val="00EF59B1"/>
    <w:rsid w:val="00EF59F2"/>
    <w:rsid w:val="00EF6153"/>
    <w:rsid w:val="00EF6176"/>
    <w:rsid w:val="00EF6E4E"/>
    <w:rsid w:val="00EF713B"/>
    <w:rsid w:val="00EF71AB"/>
    <w:rsid w:val="00EF74E7"/>
    <w:rsid w:val="00EF780A"/>
    <w:rsid w:val="00EF7B3E"/>
    <w:rsid w:val="00F0069B"/>
    <w:rsid w:val="00F01C37"/>
    <w:rsid w:val="00F01D44"/>
    <w:rsid w:val="00F01F24"/>
    <w:rsid w:val="00F020FB"/>
    <w:rsid w:val="00F02BF0"/>
    <w:rsid w:val="00F03C49"/>
    <w:rsid w:val="00F03F33"/>
    <w:rsid w:val="00F0432C"/>
    <w:rsid w:val="00F04516"/>
    <w:rsid w:val="00F06034"/>
    <w:rsid w:val="00F0780D"/>
    <w:rsid w:val="00F07A6D"/>
    <w:rsid w:val="00F100D2"/>
    <w:rsid w:val="00F1097C"/>
    <w:rsid w:val="00F121F0"/>
    <w:rsid w:val="00F123F4"/>
    <w:rsid w:val="00F12DCF"/>
    <w:rsid w:val="00F12DE2"/>
    <w:rsid w:val="00F12F63"/>
    <w:rsid w:val="00F1310D"/>
    <w:rsid w:val="00F133D6"/>
    <w:rsid w:val="00F13971"/>
    <w:rsid w:val="00F13C27"/>
    <w:rsid w:val="00F14133"/>
    <w:rsid w:val="00F144D6"/>
    <w:rsid w:val="00F14C5F"/>
    <w:rsid w:val="00F14FC4"/>
    <w:rsid w:val="00F1511E"/>
    <w:rsid w:val="00F15860"/>
    <w:rsid w:val="00F15A42"/>
    <w:rsid w:val="00F15DA5"/>
    <w:rsid w:val="00F16108"/>
    <w:rsid w:val="00F16136"/>
    <w:rsid w:val="00F16526"/>
    <w:rsid w:val="00F16D91"/>
    <w:rsid w:val="00F1705F"/>
    <w:rsid w:val="00F1732C"/>
    <w:rsid w:val="00F1756F"/>
    <w:rsid w:val="00F201FD"/>
    <w:rsid w:val="00F204E4"/>
    <w:rsid w:val="00F2085A"/>
    <w:rsid w:val="00F214B1"/>
    <w:rsid w:val="00F21C7B"/>
    <w:rsid w:val="00F2227C"/>
    <w:rsid w:val="00F23548"/>
    <w:rsid w:val="00F2359A"/>
    <w:rsid w:val="00F2404C"/>
    <w:rsid w:val="00F2429E"/>
    <w:rsid w:val="00F24782"/>
    <w:rsid w:val="00F25371"/>
    <w:rsid w:val="00F25545"/>
    <w:rsid w:val="00F265B9"/>
    <w:rsid w:val="00F266AA"/>
    <w:rsid w:val="00F2685A"/>
    <w:rsid w:val="00F2701E"/>
    <w:rsid w:val="00F27661"/>
    <w:rsid w:val="00F2796B"/>
    <w:rsid w:val="00F279BD"/>
    <w:rsid w:val="00F27F89"/>
    <w:rsid w:val="00F27FFD"/>
    <w:rsid w:val="00F3079C"/>
    <w:rsid w:val="00F3223F"/>
    <w:rsid w:val="00F3267F"/>
    <w:rsid w:val="00F33779"/>
    <w:rsid w:val="00F33B9C"/>
    <w:rsid w:val="00F34050"/>
    <w:rsid w:val="00F340F6"/>
    <w:rsid w:val="00F34129"/>
    <w:rsid w:val="00F3424C"/>
    <w:rsid w:val="00F34397"/>
    <w:rsid w:val="00F354AA"/>
    <w:rsid w:val="00F35F09"/>
    <w:rsid w:val="00F363EA"/>
    <w:rsid w:val="00F37037"/>
    <w:rsid w:val="00F3771F"/>
    <w:rsid w:val="00F37869"/>
    <w:rsid w:val="00F37A08"/>
    <w:rsid w:val="00F37BB9"/>
    <w:rsid w:val="00F40B80"/>
    <w:rsid w:val="00F41721"/>
    <w:rsid w:val="00F41B49"/>
    <w:rsid w:val="00F423F0"/>
    <w:rsid w:val="00F42726"/>
    <w:rsid w:val="00F42C78"/>
    <w:rsid w:val="00F43C32"/>
    <w:rsid w:val="00F44601"/>
    <w:rsid w:val="00F453B6"/>
    <w:rsid w:val="00F45496"/>
    <w:rsid w:val="00F45854"/>
    <w:rsid w:val="00F45D0C"/>
    <w:rsid w:val="00F460F1"/>
    <w:rsid w:val="00F464B2"/>
    <w:rsid w:val="00F468F2"/>
    <w:rsid w:val="00F4697F"/>
    <w:rsid w:val="00F46B56"/>
    <w:rsid w:val="00F46C8A"/>
    <w:rsid w:val="00F46D54"/>
    <w:rsid w:val="00F46DBE"/>
    <w:rsid w:val="00F50DC4"/>
    <w:rsid w:val="00F524C0"/>
    <w:rsid w:val="00F52A72"/>
    <w:rsid w:val="00F53483"/>
    <w:rsid w:val="00F53548"/>
    <w:rsid w:val="00F540CB"/>
    <w:rsid w:val="00F5423E"/>
    <w:rsid w:val="00F548BE"/>
    <w:rsid w:val="00F5528F"/>
    <w:rsid w:val="00F568B3"/>
    <w:rsid w:val="00F568CD"/>
    <w:rsid w:val="00F569C2"/>
    <w:rsid w:val="00F56A10"/>
    <w:rsid w:val="00F56AE4"/>
    <w:rsid w:val="00F57C62"/>
    <w:rsid w:val="00F57FC5"/>
    <w:rsid w:val="00F6000C"/>
    <w:rsid w:val="00F61269"/>
    <w:rsid w:val="00F61976"/>
    <w:rsid w:val="00F626CD"/>
    <w:rsid w:val="00F62DFC"/>
    <w:rsid w:val="00F62F58"/>
    <w:rsid w:val="00F63029"/>
    <w:rsid w:val="00F6340C"/>
    <w:rsid w:val="00F6362F"/>
    <w:rsid w:val="00F6381A"/>
    <w:rsid w:val="00F64095"/>
    <w:rsid w:val="00F645A3"/>
    <w:rsid w:val="00F6497A"/>
    <w:rsid w:val="00F65403"/>
    <w:rsid w:val="00F658BB"/>
    <w:rsid w:val="00F6598F"/>
    <w:rsid w:val="00F65E41"/>
    <w:rsid w:val="00F65FF3"/>
    <w:rsid w:val="00F66292"/>
    <w:rsid w:val="00F6694F"/>
    <w:rsid w:val="00F67026"/>
    <w:rsid w:val="00F67D15"/>
    <w:rsid w:val="00F70012"/>
    <w:rsid w:val="00F702ED"/>
    <w:rsid w:val="00F7048F"/>
    <w:rsid w:val="00F70A5D"/>
    <w:rsid w:val="00F70D04"/>
    <w:rsid w:val="00F71756"/>
    <w:rsid w:val="00F717ED"/>
    <w:rsid w:val="00F71F64"/>
    <w:rsid w:val="00F722AD"/>
    <w:rsid w:val="00F72370"/>
    <w:rsid w:val="00F724A0"/>
    <w:rsid w:val="00F72ED6"/>
    <w:rsid w:val="00F72EDE"/>
    <w:rsid w:val="00F7426C"/>
    <w:rsid w:val="00F748DB"/>
    <w:rsid w:val="00F7494B"/>
    <w:rsid w:val="00F74B62"/>
    <w:rsid w:val="00F74E67"/>
    <w:rsid w:val="00F75BD6"/>
    <w:rsid w:val="00F75EED"/>
    <w:rsid w:val="00F76257"/>
    <w:rsid w:val="00F7685E"/>
    <w:rsid w:val="00F76B38"/>
    <w:rsid w:val="00F76DA5"/>
    <w:rsid w:val="00F76F1C"/>
    <w:rsid w:val="00F76FC2"/>
    <w:rsid w:val="00F770EF"/>
    <w:rsid w:val="00F775E1"/>
    <w:rsid w:val="00F7791F"/>
    <w:rsid w:val="00F77BDA"/>
    <w:rsid w:val="00F77EC2"/>
    <w:rsid w:val="00F808A8"/>
    <w:rsid w:val="00F80E09"/>
    <w:rsid w:val="00F8148A"/>
    <w:rsid w:val="00F81687"/>
    <w:rsid w:val="00F81CE3"/>
    <w:rsid w:val="00F81D23"/>
    <w:rsid w:val="00F82060"/>
    <w:rsid w:val="00F820BF"/>
    <w:rsid w:val="00F83B27"/>
    <w:rsid w:val="00F83E60"/>
    <w:rsid w:val="00F83FD9"/>
    <w:rsid w:val="00F84289"/>
    <w:rsid w:val="00F84293"/>
    <w:rsid w:val="00F857D6"/>
    <w:rsid w:val="00F87193"/>
    <w:rsid w:val="00F8722D"/>
    <w:rsid w:val="00F8785E"/>
    <w:rsid w:val="00F87F75"/>
    <w:rsid w:val="00F87F99"/>
    <w:rsid w:val="00F87FCA"/>
    <w:rsid w:val="00F902E6"/>
    <w:rsid w:val="00F9196A"/>
    <w:rsid w:val="00F920E2"/>
    <w:rsid w:val="00F921E9"/>
    <w:rsid w:val="00F92790"/>
    <w:rsid w:val="00F92920"/>
    <w:rsid w:val="00F92A63"/>
    <w:rsid w:val="00F92ACA"/>
    <w:rsid w:val="00F92C55"/>
    <w:rsid w:val="00F92E7C"/>
    <w:rsid w:val="00F92EAB"/>
    <w:rsid w:val="00F93083"/>
    <w:rsid w:val="00F930D9"/>
    <w:rsid w:val="00F9322C"/>
    <w:rsid w:val="00F93EEE"/>
    <w:rsid w:val="00F94A68"/>
    <w:rsid w:val="00F954CA"/>
    <w:rsid w:val="00F95676"/>
    <w:rsid w:val="00F96280"/>
    <w:rsid w:val="00F967BB"/>
    <w:rsid w:val="00F96E84"/>
    <w:rsid w:val="00F97914"/>
    <w:rsid w:val="00F97E2D"/>
    <w:rsid w:val="00FA01D4"/>
    <w:rsid w:val="00FA2A41"/>
    <w:rsid w:val="00FA2BD7"/>
    <w:rsid w:val="00FA3BAD"/>
    <w:rsid w:val="00FA3F06"/>
    <w:rsid w:val="00FA4744"/>
    <w:rsid w:val="00FA53DE"/>
    <w:rsid w:val="00FA6DE6"/>
    <w:rsid w:val="00FA6F37"/>
    <w:rsid w:val="00FA6FA7"/>
    <w:rsid w:val="00FA77CA"/>
    <w:rsid w:val="00FB0862"/>
    <w:rsid w:val="00FB0D8A"/>
    <w:rsid w:val="00FB119A"/>
    <w:rsid w:val="00FB141F"/>
    <w:rsid w:val="00FB1431"/>
    <w:rsid w:val="00FB162D"/>
    <w:rsid w:val="00FB181F"/>
    <w:rsid w:val="00FB1918"/>
    <w:rsid w:val="00FB1AE8"/>
    <w:rsid w:val="00FB1D7A"/>
    <w:rsid w:val="00FB24C0"/>
    <w:rsid w:val="00FB2671"/>
    <w:rsid w:val="00FB286E"/>
    <w:rsid w:val="00FB29B4"/>
    <w:rsid w:val="00FB2A18"/>
    <w:rsid w:val="00FB3D9E"/>
    <w:rsid w:val="00FB3F9C"/>
    <w:rsid w:val="00FB4206"/>
    <w:rsid w:val="00FB526E"/>
    <w:rsid w:val="00FB5CF6"/>
    <w:rsid w:val="00FB60E4"/>
    <w:rsid w:val="00FB6C8D"/>
    <w:rsid w:val="00FB6D76"/>
    <w:rsid w:val="00FB6F8F"/>
    <w:rsid w:val="00FB7450"/>
    <w:rsid w:val="00FB7968"/>
    <w:rsid w:val="00FC0562"/>
    <w:rsid w:val="00FC0EFA"/>
    <w:rsid w:val="00FC1079"/>
    <w:rsid w:val="00FC1327"/>
    <w:rsid w:val="00FC1533"/>
    <w:rsid w:val="00FC1D4B"/>
    <w:rsid w:val="00FC1F81"/>
    <w:rsid w:val="00FC201C"/>
    <w:rsid w:val="00FC2F98"/>
    <w:rsid w:val="00FC314B"/>
    <w:rsid w:val="00FC345D"/>
    <w:rsid w:val="00FC39CA"/>
    <w:rsid w:val="00FC3AE8"/>
    <w:rsid w:val="00FC4A41"/>
    <w:rsid w:val="00FC5608"/>
    <w:rsid w:val="00FC5E6F"/>
    <w:rsid w:val="00FC6408"/>
    <w:rsid w:val="00FC7615"/>
    <w:rsid w:val="00FC7F4D"/>
    <w:rsid w:val="00FD058E"/>
    <w:rsid w:val="00FD05BC"/>
    <w:rsid w:val="00FD0E60"/>
    <w:rsid w:val="00FD1D96"/>
    <w:rsid w:val="00FD2102"/>
    <w:rsid w:val="00FD2718"/>
    <w:rsid w:val="00FD3889"/>
    <w:rsid w:val="00FD45D6"/>
    <w:rsid w:val="00FD465C"/>
    <w:rsid w:val="00FD562A"/>
    <w:rsid w:val="00FD64EF"/>
    <w:rsid w:val="00FD7771"/>
    <w:rsid w:val="00FE0294"/>
    <w:rsid w:val="00FE18B4"/>
    <w:rsid w:val="00FE1CEF"/>
    <w:rsid w:val="00FE2168"/>
    <w:rsid w:val="00FE21BF"/>
    <w:rsid w:val="00FE2C5C"/>
    <w:rsid w:val="00FE2F0E"/>
    <w:rsid w:val="00FE2F48"/>
    <w:rsid w:val="00FE37C2"/>
    <w:rsid w:val="00FE4F46"/>
    <w:rsid w:val="00FE5276"/>
    <w:rsid w:val="00FE606C"/>
    <w:rsid w:val="00FE66FB"/>
    <w:rsid w:val="00FE6FAA"/>
    <w:rsid w:val="00FE7053"/>
    <w:rsid w:val="00FE72F9"/>
    <w:rsid w:val="00FE7495"/>
    <w:rsid w:val="00FE76F5"/>
    <w:rsid w:val="00FE7884"/>
    <w:rsid w:val="00FE7D12"/>
    <w:rsid w:val="00FE7EA0"/>
    <w:rsid w:val="00FF07DB"/>
    <w:rsid w:val="00FF39B5"/>
    <w:rsid w:val="00FF3DBD"/>
    <w:rsid w:val="00FF4204"/>
    <w:rsid w:val="00FF4314"/>
    <w:rsid w:val="00FF456E"/>
    <w:rsid w:val="00FF4A19"/>
    <w:rsid w:val="00FF4CE2"/>
    <w:rsid w:val="00FF5D14"/>
    <w:rsid w:val="00FF7533"/>
    <w:rsid w:val="01F0299B"/>
    <w:rsid w:val="026E4F91"/>
    <w:rsid w:val="041D095D"/>
    <w:rsid w:val="05C87DB9"/>
    <w:rsid w:val="069A035E"/>
    <w:rsid w:val="0961739E"/>
    <w:rsid w:val="098E6083"/>
    <w:rsid w:val="0B205B2B"/>
    <w:rsid w:val="0B782559"/>
    <w:rsid w:val="0C7476C0"/>
    <w:rsid w:val="0D566BC9"/>
    <w:rsid w:val="0E180322"/>
    <w:rsid w:val="0E8C4995"/>
    <w:rsid w:val="0EF27BFB"/>
    <w:rsid w:val="0FBC50EF"/>
    <w:rsid w:val="1122095D"/>
    <w:rsid w:val="115F3FD7"/>
    <w:rsid w:val="11A259DD"/>
    <w:rsid w:val="11F9269A"/>
    <w:rsid w:val="120474A0"/>
    <w:rsid w:val="13102ABE"/>
    <w:rsid w:val="153F7FF4"/>
    <w:rsid w:val="167D280D"/>
    <w:rsid w:val="17047766"/>
    <w:rsid w:val="175C43E7"/>
    <w:rsid w:val="17935895"/>
    <w:rsid w:val="17F52C18"/>
    <w:rsid w:val="184530EF"/>
    <w:rsid w:val="19227A4B"/>
    <w:rsid w:val="1A4E7B88"/>
    <w:rsid w:val="1B3E182A"/>
    <w:rsid w:val="1B4B5195"/>
    <w:rsid w:val="1C174C6F"/>
    <w:rsid w:val="1C7C020D"/>
    <w:rsid w:val="1C8F78BA"/>
    <w:rsid w:val="1C9B0D84"/>
    <w:rsid w:val="1CDD3F3B"/>
    <w:rsid w:val="1D4D6869"/>
    <w:rsid w:val="20707345"/>
    <w:rsid w:val="21760101"/>
    <w:rsid w:val="22B25284"/>
    <w:rsid w:val="22C07D9F"/>
    <w:rsid w:val="23056CBA"/>
    <w:rsid w:val="234C1E42"/>
    <w:rsid w:val="23C6059E"/>
    <w:rsid w:val="23C95079"/>
    <w:rsid w:val="24031A53"/>
    <w:rsid w:val="24307C26"/>
    <w:rsid w:val="248E5D4C"/>
    <w:rsid w:val="24C47897"/>
    <w:rsid w:val="24E337F8"/>
    <w:rsid w:val="258D3B57"/>
    <w:rsid w:val="262336EE"/>
    <w:rsid w:val="269E4C0C"/>
    <w:rsid w:val="27024D1A"/>
    <w:rsid w:val="2AD85037"/>
    <w:rsid w:val="2BD0253B"/>
    <w:rsid w:val="2C444480"/>
    <w:rsid w:val="2C564DC3"/>
    <w:rsid w:val="2D6C141D"/>
    <w:rsid w:val="2E980D64"/>
    <w:rsid w:val="2EB64B4B"/>
    <w:rsid w:val="2EDB590A"/>
    <w:rsid w:val="2F0A29E3"/>
    <w:rsid w:val="30817D6A"/>
    <w:rsid w:val="3157114E"/>
    <w:rsid w:val="31F2037F"/>
    <w:rsid w:val="329B11F6"/>
    <w:rsid w:val="336E087E"/>
    <w:rsid w:val="33A85DA6"/>
    <w:rsid w:val="33C3087D"/>
    <w:rsid w:val="35961B12"/>
    <w:rsid w:val="364523AD"/>
    <w:rsid w:val="36700D38"/>
    <w:rsid w:val="36AA789A"/>
    <w:rsid w:val="36B63961"/>
    <w:rsid w:val="36BC1E21"/>
    <w:rsid w:val="36C4673D"/>
    <w:rsid w:val="37B10B63"/>
    <w:rsid w:val="37D17C49"/>
    <w:rsid w:val="38950836"/>
    <w:rsid w:val="390721D7"/>
    <w:rsid w:val="393B510C"/>
    <w:rsid w:val="393F4767"/>
    <w:rsid w:val="39A97E97"/>
    <w:rsid w:val="3A260C29"/>
    <w:rsid w:val="3B57268D"/>
    <w:rsid w:val="3B6176CE"/>
    <w:rsid w:val="3BF9504C"/>
    <w:rsid w:val="3CF11603"/>
    <w:rsid w:val="3D7507FB"/>
    <w:rsid w:val="3EB5127A"/>
    <w:rsid w:val="3F503E5E"/>
    <w:rsid w:val="3FC16214"/>
    <w:rsid w:val="41576FF8"/>
    <w:rsid w:val="41D9164E"/>
    <w:rsid w:val="41DD521D"/>
    <w:rsid w:val="423B7022"/>
    <w:rsid w:val="42A87124"/>
    <w:rsid w:val="42E14644"/>
    <w:rsid w:val="4389060E"/>
    <w:rsid w:val="43C8028A"/>
    <w:rsid w:val="43D51667"/>
    <w:rsid w:val="443B2C25"/>
    <w:rsid w:val="448421F1"/>
    <w:rsid w:val="45D37D9B"/>
    <w:rsid w:val="48194FD5"/>
    <w:rsid w:val="484514CB"/>
    <w:rsid w:val="48560DF2"/>
    <w:rsid w:val="48C86EE1"/>
    <w:rsid w:val="49FA6EF8"/>
    <w:rsid w:val="4A784961"/>
    <w:rsid w:val="4ACF3A3C"/>
    <w:rsid w:val="4B1700DF"/>
    <w:rsid w:val="4CD64E73"/>
    <w:rsid w:val="4D1C537B"/>
    <w:rsid w:val="4F0F6A19"/>
    <w:rsid w:val="4FD06EE0"/>
    <w:rsid w:val="51D10A66"/>
    <w:rsid w:val="528A390F"/>
    <w:rsid w:val="528C6991"/>
    <w:rsid w:val="52C3297B"/>
    <w:rsid w:val="54054633"/>
    <w:rsid w:val="540605E4"/>
    <w:rsid w:val="547F0032"/>
    <w:rsid w:val="54A02A20"/>
    <w:rsid w:val="55C87B3E"/>
    <w:rsid w:val="58D67D8C"/>
    <w:rsid w:val="58E10577"/>
    <w:rsid w:val="58EB4BA9"/>
    <w:rsid w:val="59165EF7"/>
    <w:rsid w:val="59702A12"/>
    <w:rsid w:val="5A221BA5"/>
    <w:rsid w:val="5AED2A9C"/>
    <w:rsid w:val="5BC746C9"/>
    <w:rsid w:val="5C4E605D"/>
    <w:rsid w:val="5CA96493"/>
    <w:rsid w:val="5CC61F72"/>
    <w:rsid w:val="5CF206F7"/>
    <w:rsid w:val="5EA0340D"/>
    <w:rsid w:val="5ED66C3C"/>
    <w:rsid w:val="5EFF038D"/>
    <w:rsid w:val="5FDD643B"/>
    <w:rsid w:val="60B53166"/>
    <w:rsid w:val="60BA3E42"/>
    <w:rsid w:val="6194383B"/>
    <w:rsid w:val="61CB5375"/>
    <w:rsid w:val="623348CA"/>
    <w:rsid w:val="65CA685B"/>
    <w:rsid w:val="65CF34A7"/>
    <w:rsid w:val="65F660EF"/>
    <w:rsid w:val="6673798C"/>
    <w:rsid w:val="673905B6"/>
    <w:rsid w:val="681C3942"/>
    <w:rsid w:val="68460AAC"/>
    <w:rsid w:val="68AC1CFE"/>
    <w:rsid w:val="68EC626C"/>
    <w:rsid w:val="6BCD1DE6"/>
    <w:rsid w:val="6C505023"/>
    <w:rsid w:val="6D14299F"/>
    <w:rsid w:val="6D672A1E"/>
    <w:rsid w:val="6DC237D1"/>
    <w:rsid w:val="6F40725E"/>
    <w:rsid w:val="6F4C2770"/>
    <w:rsid w:val="6F745D74"/>
    <w:rsid w:val="711172CF"/>
    <w:rsid w:val="71FD54DD"/>
    <w:rsid w:val="739A7F5B"/>
    <w:rsid w:val="7410294D"/>
    <w:rsid w:val="74F01508"/>
    <w:rsid w:val="76D71644"/>
    <w:rsid w:val="776C2FB6"/>
    <w:rsid w:val="79982284"/>
    <w:rsid w:val="7998662D"/>
    <w:rsid w:val="7A8C5878"/>
    <w:rsid w:val="7B471854"/>
    <w:rsid w:val="7C552333"/>
    <w:rsid w:val="7CA86C55"/>
    <w:rsid w:val="7CF019C1"/>
    <w:rsid w:val="7D461CAD"/>
    <w:rsid w:val="7E28286A"/>
    <w:rsid w:val="7E4515FE"/>
    <w:rsid w:val="7EAD59B2"/>
    <w:rsid w:val="7F802513"/>
    <w:rsid w:val="7F9127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qFormat="1" w:unhideWhenUsed="0" w:uiPriority="0" w:semiHidden="0" w:name="List Bullet 4"/>
    <w:lsdException w:uiPriority="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link w:val="60"/>
    <w:autoRedefine/>
    <w:qFormat/>
    <w:uiPriority w:val="0"/>
    <w:pPr>
      <w:spacing w:before="340" w:after="330" w:line="360" w:lineRule="auto"/>
      <w:jc w:val="center"/>
      <w:outlineLvl w:val="0"/>
    </w:pPr>
    <w:rPr>
      <w:rFonts w:eastAsiaTheme="minorEastAsia"/>
      <w:bCs w:val="0"/>
      <w:kern w:val="44"/>
      <w:sz w:val="44"/>
      <w:szCs w:val="28"/>
    </w:rPr>
  </w:style>
  <w:style w:type="paragraph" w:styleId="4">
    <w:name w:val="heading 2"/>
    <w:basedOn w:val="1"/>
    <w:next w:val="1"/>
    <w:link w:val="61"/>
    <w:autoRedefine/>
    <w:qFormat/>
    <w:uiPriority w:val="0"/>
    <w:pPr>
      <w:keepNext/>
      <w:keepLines/>
      <w:spacing w:before="260" w:after="260" w:line="416" w:lineRule="auto"/>
      <w:jc w:val="center"/>
      <w:outlineLvl w:val="1"/>
    </w:pPr>
    <w:rPr>
      <w:rFonts w:ascii="Arial" w:hAnsi="Arial" w:eastAsiaTheme="minorEastAsia"/>
      <w:b/>
      <w:bCs/>
      <w:sz w:val="28"/>
      <w:szCs w:val="32"/>
    </w:rPr>
  </w:style>
  <w:style w:type="paragraph" w:styleId="3">
    <w:name w:val="heading 3"/>
    <w:basedOn w:val="1"/>
    <w:next w:val="1"/>
    <w:link w:val="59"/>
    <w:autoRedefine/>
    <w:qFormat/>
    <w:uiPriority w:val="0"/>
    <w:pPr>
      <w:keepNext/>
      <w:keepLines/>
      <w:spacing w:before="260" w:after="260" w:line="416" w:lineRule="auto"/>
      <w:jc w:val="left"/>
      <w:outlineLvl w:val="2"/>
    </w:pPr>
    <w:rPr>
      <w:b/>
      <w:bCs/>
      <w:sz w:val="24"/>
      <w:szCs w:val="32"/>
    </w:rPr>
  </w:style>
  <w:style w:type="paragraph" w:styleId="5">
    <w:name w:val="heading 4"/>
    <w:basedOn w:val="1"/>
    <w:next w:val="1"/>
    <w:link w:val="62"/>
    <w:autoRedefine/>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7"/>
    <w:link w:val="64"/>
    <w:autoRedefine/>
    <w:qFormat/>
    <w:uiPriority w:val="0"/>
    <w:pPr>
      <w:keepNext/>
      <w:keepLines/>
      <w:numPr>
        <w:ilvl w:val="4"/>
        <w:numId w:val="1"/>
      </w:numPr>
      <w:tabs>
        <w:tab w:val="left" w:pos="371"/>
      </w:tabs>
      <w:spacing w:before="280" w:after="290" w:line="374" w:lineRule="auto"/>
      <w:outlineLvl w:val="4"/>
    </w:pPr>
    <w:rPr>
      <w:b/>
      <w:sz w:val="28"/>
    </w:rPr>
  </w:style>
  <w:style w:type="paragraph" w:styleId="8">
    <w:name w:val="heading 6"/>
    <w:basedOn w:val="1"/>
    <w:next w:val="7"/>
    <w:link w:val="65"/>
    <w:autoRedefine/>
    <w:qFormat/>
    <w:uiPriority w:val="9"/>
    <w:pPr>
      <w:keepNext/>
      <w:keepLines/>
      <w:numPr>
        <w:ilvl w:val="5"/>
        <w:numId w:val="1"/>
      </w:numPr>
      <w:spacing w:before="240" w:after="64" w:line="319" w:lineRule="auto"/>
      <w:outlineLvl w:val="5"/>
    </w:pPr>
    <w:rPr>
      <w:rFonts w:ascii="Arial" w:hAnsi="Arial" w:eastAsia="黑体"/>
      <w:b/>
      <w:sz w:val="24"/>
    </w:rPr>
  </w:style>
  <w:style w:type="paragraph" w:styleId="9">
    <w:name w:val="heading 7"/>
    <w:basedOn w:val="1"/>
    <w:next w:val="7"/>
    <w:link w:val="66"/>
    <w:autoRedefine/>
    <w:qFormat/>
    <w:uiPriority w:val="9"/>
    <w:pPr>
      <w:keepNext/>
      <w:keepLines/>
      <w:numPr>
        <w:ilvl w:val="6"/>
        <w:numId w:val="1"/>
      </w:numPr>
      <w:spacing w:before="240" w:after="64" w:line="319" w:lineRule="auto"/>
      <w:outlineLvl w:val="6"/>
    </w:pPr>
    <w:rPr>
      <w:b/>
      <w:sz w:val="24"/>
    </w:rPr>
  </w:style>
  <w:style w:type="paragraph" w:styleId="10">
    <w:name w:val="heading 8"/>
    <w:basedOn w:val="1"/>
    <w:next w:val="7"/>
    <w:link w:val="67"/>
    <w:autoRedefine/>
    <w:qFormat/>
    <w:uiPriority w:val="9"/>
    <w:pPr>
      <w:keepNext/>
      <w:keepLines/>
      <w:numPr>
        <w:ilvl w:val="7"/>
        <w:numId w:val="1"/>
      </w:numPr>
      <w:spacing w:before="240" w:after="64" w:line="319" w:lineRule="auto"/>
      <w:outlineLvl w:val="7"/>
    </w:pPr>
    <w:rPr>
      <w:rFonts w:ascii="Arial" w:hAnsi="Arial" w:eastAsia="黑体"/>
      <w:sz w:val="24"/>
    </w:rPr>
  </w:style>
  <w:style w:type="paragraph" w:styleId="11">
    <w:name w:val="heading 9"/>
    <w:basedOn w:val="1"/>
    <w:next w:val="7"/>
    <w:link w:val="68"/>
    <w:autoRedefine/>
    <w:qFormat/>
    <w:uiPriority w:val="0"/>
    <w:pPr>
      <w:keepNext/>
      <w:keepLines/>
      <w:numPr>
        <w:ilvl w:val="8"/>
        <w:numId w:val="1"/>
      </w:numPr>
      <w:spacing w:before="240" w:after="64" w:line="319" w:lineRule="auto"/>
      <w:outlineLvl w:val="8"/>
    </w:pPr>
    <w:rPr>
      <w:rFonts w:ascii="Arial" w:hAnsi="Arial" w:eastAsia="黑体"/>
    </w:rPr>
  </w:style>
  <w:style w:type="character" w:default="1" w:styleId="52">
    <w:name w:val="Default Paragraph Font"/>
    <w:autoRedefine/>
    <w:semiHidden/>
    <w:unhideWhenUsed/>
    <w:qFormat/>
    <w:uiPriority w:val="1"/>
  </w:style>
  <w:style w:type="table" w:default="1" w:styleId="50">
    <w:name w:val="Normal Table"/>
    <w:autoRedefine/>
    <w:semiHidden/>
    <w:unhideWhenUsed/>
    <w:qFormat/>
    <w:uiPriority w:val="99"/>
    <w:tblPr>
      <w:tblCellMar>
        <w:top w:w="0" w:type="dxa"/>
        <w:left w:w="108" w:type="dxa"/>
        <w:bottom w:w="0" w:type="dxa"/>
        <w:right w:w="108" w:type="dxa"/>
      </w:tblCellMar>
    </w:tblPr>
  </w:style>
  <w:style w:type="paragraph" w:styleId="7">
    <w:name w:val="Normal Indent"/>
    <w:basedOn w:val="1"/>
    <w:link w:val="63"/>
    <w:autoRedefine/>
    <w:qFormat/>
    <w:uiPriority w:val="0"/>
    <w:pPr>
      <w:ind w:firstLine="420" w:firstLineChars="200"/>
    </w:pPr>
  </w:style>
  <w:style w:type="paragraph" w:styleId="12">
    <w:name w:val="toc 7"/>
    <w:basedOn w:val="1"/>
    <w:next w:val="1"/>
    <w:autoRedefine/>
    <w:qFormat/>
    <w:uiPriority w:val="0"/>
    <w:pPr>
      <w:ind w:left="1260"/>
      <w:jc w:val="left"/>
    </w:pPr>
    <w:rPr>
      <w:szCs w:val="21"/>
    </w:rPr>
  </w:style>
  <w:style w:type="paragraph" w:styleId="13">
    <w:name w:val="List Number 2"/>
    <w:basedOn w:val="1"/>
    <w:autoRedefine/>
    <w:qFormat/>
    <w:uiPriority w:val="0"/>
    <w:pPr>
      <w:tabs>
        <w:tab w:val="left" w:pos="780"/>
      </w:tabs>
      <w:ind w:left="780" w:hanging="360"/>
    </w:pPr>
    <w:rPr>
      <w:szCs w:val="20"/>
    </w:rPr>
  </w:style>
  <w:style w:type="paragraph" w:styleId="14">
    <w:name w:val="List Bullet 4"/>
    <w:basedOn w:val="1"/>
    <w:autoRedefine/>
    <w:qFormat/>
    <w:uiPriority w:val="0"/>
    <w:pPr>
      <w:tabs>
        <w:tab w:val="left" w:pos="425"/>
        <w:tab w:val="left" w:pos="1620"/>
      </w:tabs>
      <w:ind w:left="425" w:hanging="425"/>
    </w:pPr>
    <w:rPr>
      <w:szCs w:val="20"/>
    </w:rPr>
  </w:style>
  <w:style w:type="paragraph" w:styleId="15">
    <w:name w:val="caption"/>
    <w:basedOn w:val="1"/>
    <w:next w:val="1"/>
    <w:link w:val="297"/>
    <w:autoRedefine/>
    <w:qFormat/>
    <w:uiPriority w:val="0"/>
    <w:rPr>
      <w:rFonts w:ascii="Cambria" w:hAnsi="Cambria" w:eastAsia="黑体"/>
    </w:rPr>
  </w:style>
  <w:style w:type="paragraph" w:styleId="16">
    <w:name w:val="List Bullet"/>
    <w:basedOn w:val="1"/>
    <w:autoRedefine/>
    <w:qFormat/>
    <w:uiPriority w:val="0"/>
    <w:pPr>
      <w:numPr>
        <w:ilvl w:val="0"/>
        <w:numId w:val="1"/>
      </w:numPr>
      <w:tabs>
        <w:tab w:val="left" w:pos="360"/>
        <w:tab w:val="clear" w:pos="371"/>
      </w:tabs>
    </w:pPr>
    <w:rPr>
      <w:szCs w:val="20"/>
    </w:rPr>
  </w:style>
  <w:style w:type="paragraph" w:styleId="17">
    <w:name w:val="Document Map"/>
    <w:basedOn w:val="1"/>
    <w:link w:val="73"/>
    <w:autoRedefine/>
    <w:qFormat/>
    <w:uiPriority w:val="0"/>
    <w:pPr>
      <w:shd w:val="clear" w:color="auto" w:fill="000080"/>
    </w:pPr>
  </w:style>
  <w:style w:type="paragraph" w:styleId="18">
    <w:name w:val="annotation text"/>
    <w:basedOn w:val="1"/>
    <w:link w:val="69"/>
    <w:autoRedefine/>
    <w:qFormat/>
    <w:uiPriority w:val="99"/>
    <w:pPr>
      <w:jc w:val="left"/>
    </w:pPr>
  </w:style>
  <w:style w:type="paragraph" w:styleId="19">
    <w:name w:val="Body Text 3"/>
    <w:basedOn w:val="1"/>
    <w:link w:val="458"/>
    <w:autoRedefine/>
    <w:unhideWhenUsed/>
    <w:qFormat/>
    <w:uiPriority w:val="0"/>
    <w:pPr>
      <w:spacing w:after="120"/>
    </w:pPr>
    <w:rPr>
      <w:sz w:val="16"/>
      <w:szCs w:val="16"/>
    </w:rPr>
  </w:style>
  <w:style w:type="paragraph" w:styleId="20">
    <w:name w:val="Body Text"/>
    <w:basedOn w:val="1"/>
    <w:link w:val="71"/>
    <w:autoRedefine/>
    <w:qFormat/>
    <w:uiPriority w:val="0"/>
    <w:pPr>
      <w:spacing w:after="120"/>
    </w:pPr>
  </w:style>
  <w:style w:type="paragraph" w:styleId="21">
    <w:name w:val="Body Text Indent"/>
    <w:basedOn w:val="1"/>
    <w:link w:val="74"/>
    <w:autoRedefine/>
    <w:qFormat/>
    <w:uiPriority w:val="0"/>
    <w:pPr>
      <w:spacing w:after="120"/>
      <w:ind w:left="420" w:leftChars="200"/>
    </w:pPr>
  </w:style>
  <w:style w:type="paragraph" w:styleId="22">
    <w:name w:val="Block Text"/>
    <w:basedOn w:val="1"/>
    <w:autoRedefine/>
    <w:qFormat/>
    <w:uiPriority w:val="0"/>
    <w:pPr>
      <w:spacing w:after="120"/>
      <w:ind w:left="1440" w:leftChars="700" w:right="1440" w:rightChars="700"/>
    </w:pPr>
  </w:style>
  <w:style w:type="paragraph" w:styleId="23">
    <w:name w:val="List Bullet 2"/>
    <w:basedOn w:val="1"/>
    <w:autoRedefine/>
    <w:qFormat/>
    <w:uiPriority w:val="0"/>
    <w:pPr>
      <w:numPr>
        <w:ilvl w:val="0"/>
        <w:numId w:val="2"/>
      </w:numPr>
      <w:tabs>
        <w:tab w:val="left" w:pos="780"/>
      </w:tabs>
    </w:pPr>
    <w:rPr>
      <w:szCs w:val="20"/>
    </w:rPr>
  </w:style>
  <w:style w:type="paragraph" w:styleId="24">
    <w:name w:val="toc 5"/>
    <w:basedOn w:val="1"/>
    <w:next w:val="1"/>
    <w:autoRedefine/>
    <w:qFormat/>
    <w:uiPriority w:val="0"/>
    <w:pPr>
      <w:ind w:left="840"/>
      <w:jc w:val="left"/>
    </w:pPr>
    <w:rPr>
      <w:szCs w:val="21"/>
    </w:rPr>
  </w:style>
  <w:style w:type="paragraph" w:styleId="25">
    <w:name w:val="toc 3"/>
    <w:basedOn w:val="1"/>
    <w:next w:val="1"/>
    <w:autoRedefine/>
    <w:qFormat/>
    <w:uiPriority w:val="39"/>
    <w:pPr>
      <w:ind w:left="420"/>
      <w:jc w:val="left"/>
    </w:pPr>
    <w:rPr>
      <w:iCs/>
    </w:rPr>
  </w:style>
  <w:style w:type="paragraph" w:styleId="26">
    <w:name w:val="Plain Text"/>
    <w:basedOn w:val="1"/>
    <w:link w:val="75"/>
    <w:autoRedefine/>
    <w:qFormat/>
    <w:uiPriority w:val="0"/>
    <w:rPr>
      <w:rFonts w:ascii="宋体" w:hAnsi="Courier New"/>
      <w:szCs w:val="20"/>
    </w:rPr>
  </w:style>
  <w:style w:type="paragraph" w:styleId="27">
    <w:name w:val="toc 8"/>
    <w:basedOn w:val="1"/>
    <w:next w:val="1"/>
    <w:autoRedefine/>
    <w:qFormat/>
    <w:uiPriority w:val="0"/>
    <w:pPr>
      <w:ind w:left="1470"/>
      <w:jc w:val="left"/>
    </w:pPr>
    <w:rPr>
      <w:szCs w:val="21"/>
    </w:rPr>
  </w:style>
  <w:style w:type="paragraph" w:styleId="28">
    <w:name w:val="Date"/>
    <w:basedOn w:val="1"/>
    <w:next w:val="1"/>
    <w:link w:val="316"/>
    <w:autoRedefine/>
    <w:qFormat/>
    <w:uiPriority w:val="0"/>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9">
    <w:name w:val="Body Text Indent 2"/>
    <w:basedOn w:val="1"/>
    <w:link w:val="76"/>
    <w:autoRedefine/>
    <w:qFormat/>
    <w:uiPriority w:val="0"/>
    <w:pPr>
      <w:spacing w:after="120" w:line="480" w:lineRule="auto"/>
      <w:ind w:left="420" w:leftChars="200"/>
    </w:pPr>
  </w:style>
  <w:style w:type="paragraph" w:styleId="30">
    <w:name w:val="Balloon Text"/>
    <w:basedOn w:val="1"/>
    <w:link w:val="77"/>
    <w:autoRedefine/>
    <w:qFormat/>
    <w:uiPriority w:val="0"/>
    <w:rPr>
      <w:sz w:val="18"/>
      <w:szCs w:val="18"/>
    </w:rPr>
  </w:style>
  <w:style w:type="paragraph" w:styleId="31">
    <w:name w:val="footer"/>
    <w:basedOn w:val="1"/>
    <w:link w:val="78"/>
    <w:autoRedefine/>
    <w:qFormat/>
    <w:uiPriority w:val="99"/>
    <w:pPr>
      <w:tabs>
        <w:tab w:val="center" w:pos="4153"/>
        <w:tab w:val="right" w:pos="8306"/>
      </w:tabs>
      <w:snapToGrid w:val="0"/>
      <w:jc w:val="left"/>
    </w:pPr>
    <w:rPr>
      <w:sz w:val="18"/>
      <w:szCs w:val="18"/>
    </w:rPr>
  </w:style>
  <w:style w:type="paragraph" w:styleId="32">
    <w:name w:val="header"/>
    <w:basedOn w:val="1"/>
    <w:link w:val="79"/>
    <w:autoRedefine/>
    <w:qFormat/>
    <w:uiPriority w:val="99"/>
    <w:pPr>
      <w:pBdr>
        <w:bottom w:val="single" w:color="auto" w:sz="6" w:space="1"/>
      </w:pBdr>
      <w:tabs>
        <w:tab w:val="center" w:pos="4153"/>
        <w:tab w:val="right" w:pos="8306"/>
      </w:tabs>
      <w:snapToGrid w:val="0"/>
      <w:jc w:val="center"/>
    </w:pPr>
    <w:rPr>
      <w:sz w:val="18"/>
      <w:szCs w:val="18"/>
    </w:rPr>
  </w:style>
  <w:style w:type="paragraph" w:styleId="33">
    <w:name w:val="Signature"/>
    <w:basedOn w:val="1"/>
    <w:link w:val="287"/>
    <w:autoRedefine/>
    <w:qFormat/>
    <w:uiPriority w:val="0"/>
    <w:pPr>
      <w:ind w:left="4320"/>
    </w:pPr>
    <w:rPr>
      <w:rFonts w:eastAsia="楷体_GB2312"/>
      <w:szCs w:val="20"/>
    </w:rPr>
  </w:style>
  <w:style w:type="paragraph" w:styleId="34">
    <w:name w:val="toc 1"/>
    <w:basedOn w:val="1"/>
    <w:next w:val="1"/>
    <w:autoRedefine/>
    <w:qFormat/>
    <w:uiPriority w:val="39"/>
    <w:pPr>
      <w:spacing w:before="120" w:after="120"/>
      <w:jc w:val="left"/>
    </w:pPr>
    <w:rPr>
      <w:b/>
      <w:bCs/>
      <w:caps/>
    </w:rPr>
  </w:style>
  <w:style w:type="paragraph" w:styleId="35">
    <w:name w:val="toc 4"/>
    <w:basedOn w:val="1"/>
    <w:next w:val="1"/>
    <w:autoRedefine/>
    <w:qFormat/>
    <w:uiPriority w:val="0"/>
    <w:pPr>
      <w:ind w:left="630"/>
      <w:jc w:val="left"/>
    </w:pPr>
    <w:rPr>
      <w:szCs w:val="21"/>
    </w:rPr>
  </w:style>
  <w:style w:type="paragraph" w:styleId="36">
    <w:name w:val="index heading"/>
    <w:basedOn w:val="1"/>
    <w:next w:val="37"/>
    <w:autoRedefine/>
    <w:qFormat/>
    <w:uiPriority w:val="0"/>
    <w:rPr>
      <w:szCs w:val="20"/>
    </w:rPr>
  </w:style>
  <w:style w:type="paragraph" w:styleId="37">
    <w:name w:val="index 1"/>
    <w:basedOn w:val="1"/>
    <w:next w:val="1"/>
    <w:autoRedefine/>
    <w:qFormat/>
    <w:uiPriority w:val="0"/>
  </w:style>
  <w:style w:type="paragraph" w:styleId="38">
    <w:name w:val="footnote text"/>
    <w:basedOn w:val="1"/>
    <w:link w:val="481"/>
    <w:autoRedefine/>
    <w:qFormat/>
    <w:uiPriority w:val="0"/>
    <w:pPr>
      <w:snapToGrid w:val="0"/>
      <w:jc w:val="left"/>
    </w:pPr>
    <w:rPr>
      <w:sz w:val="18"/>
      <w:szCs w:val="18"/>
    </w:rPr>
  </w:style>
  <w:style w:type="paragraph" w:styleId="39">
    <w:name w:val="toc 6"/>
    <w:basedOn w:val="1"/>
    <w:next w:val="1"/>
    <w:autoRedefine/>
    <w:qFormat/>
    <w:uiPriority w:val="0"/>
    <w:pPr>
      <w:ind w:left="1050"/>
      <w:jc w:val="left"/>
    </w:pPr>
    <w:rPr>
      <w:szCs w:val="21"/>
    </w:rPr>
  </w:style>
  <w:style w:type="paragraph" w:styleId="40">
    <w:name w:val="Body Text Indent 3"/>
    <w:basedOn w:val="1"/>
    <w:link w:val="313"/>
    <w:autoRedefine/>
    <w:qFormat/>
    <w:uiPriority w:val="0"/>
    <w:pPr>
      <w:ind w:firstLine="426"/>
    </w:pPr>
    <w:rPr>
      <w:szCs w:val="20"/>
    </w:rPr>
  </w:style>
  <w:style w:type="paragraph" w:styleId="41">
    <w:name w:val="toc 2"/>
    <w:basedOn w:val="1"/>
    <w:next w:val="1"/>
    <w:autoRedefine/>
    <w:qFormat/>
    <w:uiPriority w:val="39"/>
    <w:pPr>
      <w:ind w:left="210"/>
      <w:jc w:val="left"/>
    </w:pPr>
    <w:rPr>
      <w:smallCaps/>
    </w:rPr>
  </w:style>
  <w:style w:type="paragraph" w:styleId="42">
    <w:name w:val="toc 9"/>
    <w:basedOn w:val="1"/>
    <w:next w:val="1"/>
    <w:autoRedefine/>
    <w:qFormat/>
    <w:uiPriority w:val="0"/>
    <w:pPr>
      <w:ind w:left="1680"/>
      <w:jc w:val="left"/>
    </w:pPr>
    <w:rPr>
      <w:szCs w:val="21"/>
    </w:rPr>
  </w:style>
  <w:style w:type="paragraph" w:styleId="43">
    <w:name w:val="Body Text 2"/>
    <w:basedOn w:val="1"/>
    <w:link w:val="306"/>
    <w:autoRedefine/>
    <w:qFormat/>
    <w:uiPriority w:val="0"/>
    <w:rPr>
      <w:sz w:val="28"/>
      <w:szCs w:val="20"/>
    </w:rPr>
  </w:style>
  <w:style w:type="paragraph" w:styleId="44">
    <w:name w:val="HTML Preformatted"/>
    <w:basedOn w:val="1"/>
    <w:link w:val="80"/>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5">
    <w:name w:val="Normal (Web)"/>
    <w:basedOn w:val="1"/>
    <w:autoRedefine/>
    <w:qFormat/>
    <w:uiPriority w:val="99"/>
    <w:pPr>
      <w:widowControl/>
      <w:spacing w:before="100" w:beforeAutospacing="1" w:after="100" w:afterAutospacing="1"/>
      <w:jc w:val="left"/>
    </w:pPr>
    <w:rPr>
      <w:kern w:val="0"/>
      <w:sz w:val="24"/>
    </w:rPr>
  </w:style>
  <w:style w:type="paragraph" w:styleId="46">
    <w:name w:val="Title"/>
    <w:basedOn w:val="1"/>
    <w:link w:val="81"/>
    <w:autoRedefine/>
    <w:qFormat/>
    <w:uiPriority w:val="0"/>
    <w:pPr>
      <w:spacing w:before="240" w:after="60"/>
      <w:jc w:val="center"/>
      <w:outlineLvl w:val="0"/>
    </w:pPr>
    <w:rPr>
      <w:rFonts w:ascii="Arial" w:hAnsi="Arial" w:eastAsia="隶书"/>
      <w:b/>
      <w:bCs/>
      <w:sz w:val="32"/>
      <w:szCs w:val="32"/>
    </w:rPr>
  </w:style>
  <w:style w:type="paragraph" w:styleId="47">
    <w:name w:val="annotation subject"/>
    <w:basedOn w:val="18"/>
    <w:next w:val="18"/>
    <w:link w:val="70"/>
    <w:autoRedefine/>
    <w:qFormat/>
    <w:uiPriority w:val="0"/>
    <w:rPr>
      <w:b/>
      <w:bCs/>
    </w:rPr>
  </w:style>
  <w:style w:type="paragraph" w:styleId="48">
    <w:name w:val="Body Text First Indent"/>
    <w:basedOn w:val="20"/>
    <w:link w:val="72"/>
    <w:autoRedefine/>
    <w:qFormat/>
    <w:uiPriority w:val="0"/>
    <w:pPr>
      <w:ind w:firstLine="420" w:firstLineChars="100"/>
    </w:pPr>
  </w:style>
  <w:style w:type="paragraph" w:styleId="49">
    <w:name w:val="Body Text First Indent 2"/>
    <w:basedOn w:val="21"/>
    <w:link w:val="292"/>
    <w:autoRedefine/>
    <w:qFormat/>
    <w:uiPriority w:val="0"/>
    <w:pPr>
      <w:spacing w:after="160" w:line="360" w:lineRule="auto"/>
      <w:ind w:firstLine="480" w:firstLineChars="200"/>
    </w:pPr>
    <w:rPr>
      <w:kern w:val="0"/>
      <w:sz w:val="24"/>
    </w:rPr>
  </w:style>
  <w:style w:type="table" w:styleId="51">
    <w:name w:val="Table Grid"/>
    <w:basedOn w:val="50"/>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3">
    <w:name w:val="Strong"/>
    <w:autoRedefine/>
    <w:qFormat/>
    <w:uiPriority w:val="22"/>
    <w:rPr>
      <w:b/>
      <w:bCs/>
    </w:rPr>
  </w:style>
  <w:style w:type="character" w:styleId="54">
    <w:name w:val="page number"/>
    <w:basedOn w:val="52"/>
    <w:autoRedefine/>
    <w:qFormat/>
    <w:uiPriority w:val="0"/>
  </w:style>
  <w:style w:type="character" w:styleId="55">
    <w:name w:val="FollowedHyperlink"/>
    <w:basedOn w:val="52"/>
    <w:autoRedefine/>
    <w:unhideWhenUsed/>
    <w:qFormat/>
    <w:uiPriority w:val="0"/>
    <w:rPr>
      <w:color w:val="800080"/>
      <w:u w:val="single"/>
    </w:rPr>
  </w:style>
  <w:style w:type="character" w:styleId="56">
    <w:name w:val="Emphasis"/>
    <w:autoRedefine/>
    <w:qFormat/>
    <w:uiPriority w:val="20"/>
    <w:rPr>
      <w:i/>
      <w:iCs/>
    </w:rPr>
  </w:style>
  <w:style w:type="character" w:styleId="57">
    <w:name w:val="Hyperlink"/>
    <w:autoRedefine/>
    <w:qFormat/>
    <w:uiPriority w:val="99"/>
    <w:rPr>
      <w:color w:val="0000FF"/>
      <w:u w:val="single"/>
    </w:rPr>
  </w:style>
  <w:style w:type="character" w:styleId="58">
    <w:name w:val="annotation reference"/>
    <w:autoRedefine/>
    <w:qFormat/>
    <w:uiPriority w:val="99"/>
    <w:rPr>
      <w:sz w:val="21"/>
      <w:szCs w:val="21"/>
    </w:rPr>
  </w:style>
  <w:style w:type="character" w:customStyle="1" w:styleId="59">
    <w:name w:val="标题 3 字符"/>
    <w:basedOn w:val="52"/>
    <w:link w:val="3"/>
    <w:autoRedefine/>
    <w:qFormat/>
    <w:uiPriority w:val="0"/>
    <w:rPr>
      <w:b/>
      <w:bCs/>
      <w:kern w:val="2"/>
      <w:sz w:val="24"/>
      <w:szCs w:val="32"/>
    </w:rPr>
  </w:style>
  <w:style w:type="character" w:customStyle="1" w:styleId="60">
    <w:name w:val="标题 1 字符"/>
    <w:basedOn w:val="52"/>
    <w:link w:val="2"/>
    <w:autoRedefine/>
    <w:qFormat/>
    <w:uiPriority w:val="0"/>
    <w:rPr>
      <w:rFonts w:eastAsiaTheme="minorEastAsia"/>
      <w:b/>
      <w:kern w:val="44"/>
      <w:sz w:val="44"/>
      <w:szCs w:val="28"/>
    </w:rPr>
  </w:style>
  <w:style w:type="character" w:customStyle="1" w:styleId="61">
    <w:name w:val="标题 2 字符"/>
    <w:basedOn w:val="52"/>
    <w:link w:val="4"/>
    <w:autoRedefine/>
    <w:qFormat/>
    <w:uiPriority w:val="0"/>
    <w:rPr>
      <w:rFonts w:ascii="Arial" w:hAnsi="Arial" w:eastAsiaTheme="minorEastAsia"/>
      <w:b/>
      <w:bCs/>
      <w:kern w:val="2"/>
      <w:sz w:val="28"/>
      <w:szCs w:val="32"/>
    </w:rPr>
  </w:style>
  <w:style w:type="character" w:customStyle="1" w:styleId="62">
    <w:name w:val="标题 4 字符"/>
    <w:basedOn w:val="52"/>
    <w:link w:val="5"/>
    <w:autoRedefine/>
    <w:qFormat/>
    <w:uiPriority w:val="99"/>
    <w:rPr>
      <w:rFonts w:ascii="Arial" w:hAnsi="Arial" w:eastAsia="黑体"/>
      <w:b/>
      <w:bCs/>
      <w:kern w:val="2"/>
      <w:sz w:val="28"/>
      <w:szCs w:val="28"/>
    </w:rPr>
  </w:style>
  <w:style w:type="character" w:customStyle="1" w:styleId="63">
    <w:name w:val="正文缩进 字符"/>
    <w:link w:val="7"/>
    <w:autoRedefine/>
    <w:qFormat/>
    <w:uiPriority w:val="0"/>
    <w:rPr>
      <w:rFonts w:eastAsia="宋体"/>
      <w:kern w:val="2"/>
      <w:sz w:val="21"/>
      <w:szCs w:val="24"/>
      <w:lang w:val="en-US" w:eastAsia="zh-CN" w:bidi="ar-SA"/>
    </w:rPr>
  </w:style>
  <w:style w:type="character" w:customStyle="1" w:styleId="64">
    <w:name w:val="标题 5 字符"/>
    <w:basedOn w:val="52"/>
    <w:link w:val="6"/>
    <w:autoRedefine/>
    <w:qFormat/>
    <w:uiPriority w:val="0"/>
    <w:rPr>
      <w:b/>
      <w:kern w:val="2"/>
      <w:sz w:val="28"/>
      <w:szCs w:val="24"/>
    </w:rPr>
  </w:style>
  <w:style w:type="character" w:customStyle="1" w:styleId="65">
    <w:name w:val="标题 6 字符"/>
    <w:basedOn w:val="52"/>
    <w:link w:val="8"/>
    <w:autoRedefine/>
    <w:qFormat/>
    <w:uiPriority w:val="9"/>
    <w:rPr>
      <w:rFonts w:ascii="Arial" w:hAnsi="Arial" w:eastAsia="黑体"/>
      <w:b/>
      <w:kern w:val="2"/>
      <w:sz w:val="24"/>
      <w:szCs w:val="24"/>
    </w:rPr>
  </w:style>
  <w:style w:type="character" w:customStyle="1" w:styleId="66">
    <w:name w:val="标题 7 字符"/>
    <w:basedOn w:val="52"/>
    <w:link w:val="9"/>
    <w:autoRedefine/>
    <w:qFormat/>
    <w:uiPriority w:val="9"/>
    <w:rPr>
      <w:b/>
      <w:kern w:val="2"/>
      <w:sz w:val="24"/>
      <w:szCs w:val="24"/>
    </w:rPr>
  </w:style>
  <w:style w:type="character" w:customStyle="1" w:styleId="67">
    <w:name w:val="标题 8 字符"/>
    <w:basedOn w:val="52"/>
    <w:link w:val="10"/>
    <w:autoRedefine/>
    <w:qFormat/>
    <w:uiPriority w:val="9"/>
    <w:rPr>
      <w:rFonts w:ascii="Arial" w:hAnsi="Arial" w:eastAsia="黑体"/>
      <w:kern w:val="2"/>
      <w:sz w:val="24"/>
      <w:szCs w:val="24"/>
    </w:rPr>
  </w:style>
  <w:style w:type="character" w:customStyle="1" w:styleId="68">
    <w:name w:val="标题 9 字符"/>
    <w:basedOn w:val="52"/>
    <w:link w:val="11"/>
    <w:autoRedefine/>
    <w:qFormat/>
    <w:uiPriority w:val="0"/>
    <w:rPr>
      <w:rFonts w:ascii="Arial" w:hAnsi="Arial" w:eastAsia="黑体"/>
      <w:kern w:val="2"/>
      <w:sz w:val="21"/>
      <w:szCs w:val="24"/>
    </w:rPr>
  </w:style>
  <w:style w:type="character" w:customStyle="1" w:styleId="69">
    <w:name w:val="批注文字 字符1"/>
    <w:link w:val="18"/>
    <w:autoRedefine/>
    <w:qFormat/>
    <w:uiPriority w:val="99"/>
    <w:rPr>
      <w:kern w:val="2"/>
      <w:sz w:val="21"/>
      <w:szCs w:val="24"/>
    </w:rPr>
  </w:style>
  <w:style w:type="character" w:customStyle="1" w:styleId="70">
    <w:name w:val="批注主题 字符"/>
    <w:basedOn w:val="69"/>
    <w:link w:val="47"/>
    <w:autoRedefine/>
    <w:qFormat/>
    <w:uiPriority w:val="0"/>
    <w:rPr>
      <w:b/>
      <w:bCs/>
      <w:kern w:val="2"/>
      <w:sz w:val="21"/>
      <w:szCs w:val="24"/>
    </w:rPr>
  </w:style>
  <w:style w:type="character" w:customStyle="1" w:styleId="71">
    <w:name w:val="正文文本 字符1"/>
    <w:basedOn w:val="52"/>
    <w:link w:val="20"/>
    <w:autoRedefine/>
    <w:qFormat/>
    <w:uiPriority w:val="0"/>
    <w:rPr>
      <w:kern w:val="2"/>
      <w:sz w:val="21"/>
      <w:szCs w:val="24"/>
    </w:rPr>
  </w:style>
  <w:style w:type="character" w:customStyle="1" w:styleId="72">
    <w:name w:val="正文文本首行缩进 字符"/>
    <w:link w:val="48"/>
    <w:autoRedefine/>
    <w:qFormat/>
    <w:uiPriority w:val="0"/>
    <w:rPr>
      <w:rFonts w:eastAsia="宋体"/>
      <w:kern w:val="2"/>
      <w:sz w:val="21"/>
      <w:szCs w:val="24"/>
      <w:lang w:val="en-US" w:eastAsia="zh-CN" w:bidi="ar-SA"/>
    </w:rPr>
  </w:style>
  <w:style w:type="character" w:customStyle="1" w:styleId="73">
    <w:name w:val="文档结构图 字符"/>
    <w:basedOn w:val="52"/>
    <w:link w:val="17"/>
    <w:autoRedefine/>
    <w:qFormat/>
    <w:uiPriority w:val="0"/>
    <w:rPr>
      <w:kern w:val="2"/>
      <w:sz w:val="21"/>
      <w:szCs w:val="24"/>
      <w:shd w:val="clear" w:color="auto" w:fill="000080"/>
    </w:rPr>
  </w:style>
  <w:style w:type="character" w:customStyle="1" w:styleId="74">
    <w:name w:val="正文文本缩进 字符1"/>
    <w:basedOn w:val="52"/>
    <w:link w:val="21"/>
    <w:autoRedefine/>
    <w:qFormat/>
    <w:uiPriority w:val="0"/>
    <w:rPr>
      <w:kern w:val="2"/>
      <w:sz w:val="21"/>
      <w:szCs w:val="24"/>
    </w:rPr>
  </w:style>
  <w:style w:type="character" w:customStyle="1" w:styleId="75">
    <w:name w:val="纯文本 字符"/>
    <w:link w:val="26"/>
    <w:autoRedefine/>
    <w:qFormat/>
    <w:uiPriority w:val="0"/>
    <w:rPr>
      <w:rFonts w:ascii="宋体" w:hAnsi="Courier New" w:eastAsia="宋体"/>
      <w:kern w:val="2"/>
      <w:sz w:val="21"/>
      <w:lang w:val="en-US" w:eastAsia="zh-CN" w:bidi="ar-SA"/>
    </w:rPr>
  </w:style>
  <w:style w:type="character" w:customStyle="1" w:styleId="76">
    <w:name w:val="正文文本缩进 2 字符"/>
    <w:link w:val="29"/>
    <w:autoRedefine/>
    <w:qFormat/>
    <w:uiPriority w:val="0"/>
    <w:rPr>
      <w:kern w:val="2"/>
      <w:sz w:val="21"/>
      <w:szCs w:val="24"/>
    </w:rPr>
  </w:style>
  <w:style w:type="character" w:customStyle="1" w:styleId="77">
    <w:name w:val="批注框文本 字符"/>
    <w:basedOn w:val="52"/>
    <w:link w:val="30"/>
    <w:autoRedefine/>
    <w:qFormat/>
    <w:uiPriority w:val="99"/>
    <w:rPr>
      <w:kern w:val="2"/>
      <w:sz w:val="18"/>
      <w:szCs w:val="18"/>
    </w:rPr>
  </w:style>
  <w:style w:type="character" w:customStyle="1" w:styleId="78">
    <w:name w:val="页脚 字符"/>
    <w:basedOn w:val="52"/>
    <w:link w:val="31"/>
    <w:autoRedefine/>
    <w:qFormat/>
    <w:uiPriority w:val="99"/>
    <w:rPr>
      <w:kern w:val="2"/>
      <w:sz w:val="18"/>
      <w:szCs w:val="18"/>
    </w:rPr>
  </w:style>
  <w:style w:type="character" w:customStyle="1" w:styleId="79">
    <w:name w:val="页眉 字符"/>
    <w:link w:val="32"/>
    <w:autoRedefine/>
    <w:qFormat/>
    <w:uiPriority w:val="99"/>
    <w:rPr>
      <w:kern w:val="2"/>
      <w:sz w:val="18"/>
      <w:szCs w:val="18"/>
    </w:rPr>
  </w:style>
  <w:style w:type="character" w:customStyle="1" w:styleId="80">
    <w:name w:val="HTML 预设格式 字符"/>
    <w:link w:val="44"/>
    <w:autoRedefine/>
    <w:qFormat/>
    <w:uiPriority w:val="0"/>
    <w:rPr>
      <w:rFonts w:ascii="宋体" w:hAnsi="宋体" w:cs="宋体"/>
      <w:sz w:val="24"/>
      <w:szCs w:val="24"/>
    </w:rPr>
  </w:style>
  <w:style w:type="character" w:customStyle="1" w:styleId="81">
    <w:name w:val="标题 字符"/>
    <w:link w:val="46"/>
    <w:autoRedefine/>
    <w:qFormat/>
    <w:uiPriority w:val="0"/>
    <w:rPr>
      <w:rFonts w:ascii="Arial" w:hAnsi="Arial" w:eastAsia="隶书" w:cs="Arial"/>
      <w:b/>
      <w:bCs/>
      <w:kern w:val="2"/>
      <w:sz w:val="32"/>
      <w:szCs w:val="32"/>
    </w:rPr>
  </w:style>
  <w:style w:type="paragraph" w:customStyle="1" w:styleId="82">
    <w:name w:val="Char Char Char 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3">
    <w:name w:val="样式1 Char Char"/>
    <w:basedOn w:val="1"/>
    <w:next w:val="1"/>
    <w:link w:val="84"/>
    <w:autoRedefine/>
    <w:qFormat/>
    <w:uiPriority w:val="0"/>
    <w:pPr>
      <w:spacing w:line="360" w:lineRule="auto"/>
      <w:ind w:firstLine="516" w:firstLineChars="215"/>
    </w:pPr>
    <w:rPr>
      <w:sz w:val="24"/>
      <w:szCs w:val="20"/>
    </w:rPr>
  </w:style>
  <w:style w:type="character" w:customStyle="1" w:styleId="84">
    <w:name w:val="样式1 Char Char Char"/>
    <w:link w:val="83"/>
    <w:autoRedefine/>
    <w:qFormat/>
    <w:uiPriority w:val="0"/>
    <w:rPr>
      <w:rFonts w:eastAsia="宋体"/>
      <w:kern w:val="2"/>
      <w:sz w:val="24"/>
      <w:lang w:val="en-US" w:eastAsia="zh-CN" w:bidi="ar-SA"/>
    </w:rPr>
  </w:style>
  <w:style w:type="paragraph" w:customStyle="1" w:styleId="85">
    <w:name w:val="样式1"/>
    <w:basedOn w:val="46"/>
    <w:link w:val="86"/>
    <w:autoRedefine/>
    <w:qFormat/>
    <w:uiPriority w:val="0"/>
    <w:pPr>
      <w:spacing w:before="120" w:after="120"/>
    </w:pPr>
    <w:rPr>
      <w:rFonts w:eastAsia="黑体" w:cs="Arial"/>
      <w:b w:val="0"/>
      <w:sz w:val="30"/>
      <w:szCs w:val="21"/>
    </w:rPr>
  </w:style>
  <w:style w:type="character" w:customStyle="1" w:styleId="86">
    <w:name w:val="样式1 Char"/>
    <w:link w:val="85"/>
    <w:autoRedefine/>
    <w:qFormat/>
    <w:uiPriority w:val="0"/>
    <w:rPr>
      <w:rFonts w:ascii="Arial" w:hAnsi="Arial" w:eastAsia="黑体" w:cs="Arial"/>
      <w:bCs/>
      <w:kern w:val="2"/>
      <w:sz w:val="30"/>
      <w:szCs w:val="21"/>
      <w:lang w:val="en-US" w:eastAsia="zh-CN" w:bidi="ar-SA"/>
    </w:rPr>
  </w:style>
  <w:style w:type="paragraph" w:customStyle="1" w:styleId="87">
    <w:name w:val="Char Char Char Char1"/>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8">
    <w:name w:val="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9">
    <w:name w:val="inf"/>
    <w:basedOn w:val="1"/>
    <w:autoRedefine/>
    <w:qFormat/>
    <w:uiPriority w:val="0"/>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90">
    <w:name w:val="Char1"/>
    <w:basedOn w:val="1"/>
    <w:autoRedefine/>
    <w:qFormat/>
    <w:uiPriority w:val="0"/>
    <w:rPr>
      <w:rFonts w:ascii="仿宋_GB2312" w:eastAsia="仿宋_GB2312"/>
      <w:b/>
      <w:sz w:val="32"/>
      <w:szCs w:val="32"/>
    </w:rPr>
  </w:style>
  <w:style w:type="character" w:customStyle="1" w:styleId="91">
    <w:name w:val="tpc_title1"/>
    <w:autoRedefine/>
    <w:qFormat/>
    <w:uiPriority w:val="0"/>
    <w:rPr>
      <w:b/>
      <w:bCs/>
      <w:sz w:val="18"/>
      <w:szCs w:val="18"/>
    </w:rPr>
  </w:style>
  <w:style w:type="character" w:customStyle="1" w:styleId="92">
    <w:name w:val="tpc_content1"/>
    <w:autoRedefine/>
    <w:qFormat/>
    <w:uiPriority w:val="0"/>
    <w:rPr>
      <w:sz w:val="20"/>
      <w:szCs w:val="20"/>
    </w:rPr>
  </w:style>
  <w:style w:type="paragraph" w:customStyle="1" w:styleId="93">
    <w:name w:val="正文缩进2格"/>
    <w:basedOn w:val="1"/>
    <w:autoRedefine/>
    <w:qFormat/>
    <w:uiPriority w:val="0"/>
    <w:pPr>
      <w:spacing w:line="600" w:lineRule="exact"/>
      <w:ind w:firstLine="639" w:firstLineChars="206"/>
    </w:pPr>
    <w:rPr>
      <w:rFonts w:ascii="仿宋_GB2312" w:hAnsi="宋体" w:eastAsia="仿宋_GB2312"/>
      <w:sz w:val="31"/>
      <w:szCs w:val="28"/>
    </w:rPr>
  </w:style>
  <w:style w:type="paragraph" w:customStyle="1" w:styleId="94">
    <w:name w:val="列出段落1"/>
    <w:basedOn w:val="1"/>
    <w:link w:val="95"/>
    <w:autoRedefine/>
    <w:qFormat/>
    <w:uiPriority w:val="0"/>
    <w:pPr>
      <w:ind w:firstLine="420" w:firstLineChars="200"/>
    </w:pPr>
  </w:style>
  <w:style w:type="character" w:customStyle="1" w:styleId="95">
    <w:name w:val="列表段落 字符"/>
    <w:link w:val="94"/>
    <w:autoRedefine/>
    <w:qFormat/>
    <w:uiPriority w:val="34"/>
    <w:rPr>
      <w:kern w:val="2"/>
      <w:sz w:val="21"/>
      <w:szCs w:val="24"/>
    </w:rPr>
  </w:style>
  <w:style w:type="paragraph" w:customStyle="1" w:styleId="96">
    <w:name w:val="正文1"/>
    <w:basedOn w:val="1"/>
    <w:autoRedefine/>
    <w:qFormat/>
    <w:uiPriority w:val="0"/>
    <w:pPr>
      <w:tabs>
        <w:tab w:val="left" w:pos="4"/>
      </w:tabs>
      <w:spacing w:line="360" w:lineRule="auto"/>
      <w:ind w:left="-2" w:firstLine="482"/>
    </w:pPr>
    <w:rPr>
      <w:rFonts w:ascii="宋体" w:hAnsi="宋体"/>
      <w:sz w:val="24"/>
    </w:rPr>
  </w:style>
  <w:style w:type="paragraph" w:customStyle="1" w:styleId="97">
    <w:name w:val="Char2 Char Char Char Char Char Char Char Char Char Char Char Char"/>
    <w:basedOn w:val="1"/>
    <w:autoRedefine/>
    <w:qFormat/>
    <w:uiPriority w:val="0"/>
    <w:pPr>
      <w:spacing w:line="360" w:lineRule="auto"/>
      <w:ind w:firstLine="200" w:firstLineChars="200"/>
    </w:pPr>
    <w:rPr>
      <w:rFonts w:ascii="Tahoma" w:hAnsi="Tahoma"/>
      <w:sz w:val="24"/>
    </w:rPr>
  </w:style>
  <w:style w:type="paragraph" w:customStyle="1" w:styleId="98">
    <w:name w:val="缩进正文"/>
    <w:basedOn w:val="1"/>
    <w:link w:val="99"/>
    <w:autoRedefine/>
    <w:qFormat/>
    <w:uiPriority w:val="0"/>
    <w:pPr>
      <w:ind w:firstLine="560" w:firstLineChars="200"/>
    </w:pPr>
    <w:rPr>
      <w:rFonts w:eastAsia="仿宋_GB2312" w:cs="宋体"/>
      <w:sz w:val="28"/>
      <w:szCs w:val="20"/>
    </w:rPr>
  </w:style>
  <w:style w:type="character" w:customStyle="1" w:styleId="99">
    <w:name w:val="缩进正文 Char"/>
    <w:link w:val="98"/>
    <w:autoRedefine/>
    <w:qFormat/>
    <w:uiPriority w:val="0"/>
    <w:rPr>
      <w:rFonts w:eastAsia="仿宋_GB2312" w:cs="宋体"/>
      <w:kern w:val="2"/>
      <w:sz w:val="28"/>
      <w:lang w:val="en-US" w:eastAsia="zh-CN" w:bidi="ar-SA"/>
    </w:rPr>
  </w:style>
  <w:style w:type="character" w:customStyle="1" w:styleId="100">
    <w:name w:val="访问过的超链接1"/>
    <w:autoRedefine/>
    <w:qFormat/>
    <w:uiPriority w:val="0"/>
    <w:rPr>
      <w:color w:val="800080"/>
      <w:u w:val="single"/>
    </w:rPr>
  </w:style>
  <w:style w:type="paragraph" w:customStyle="1" w:styleId="101">
    <w:name w:val="Char Char Char Char Char Char Char"/>
    <w:basedOn w:val="1"/>
    <w:autoRedefine/>
    <w:qFormat/>
    <w:uiPriority w:val="0"/>
    <w:pPr>
      <w:widowControl/>
      <w:adjustRightInd w:val="0"/>
      <w:spacing w:after="160" w:line="240" w:lineRule="exact"/>
      <w:jc w:val="left"/>
      <w:textAlignment w:val="baseline"/>
    </w:pPr>
  </w:style>
  <w:style w:type="character" w:customStyle="1" w:styleId="102">
    <w:name w:val="正文缩进 Char1"/>
    <w:autoRedefine/>
    <w:qFormat/>
    <w:uiPriority w:val="0"/>
    <w:rPr>
      <w:rFonts w:eastAsia="宋体"/>
      <w:kern w:val="2"/>
      <w:sz w:val="21"/>
      <w:lang w:val="en-US" w:eastAsia="zh-CN" w:bidi="ar-SA"/>
    </w:rPr>
  </w:style>
  <w:style w:type="paragraph" w:customStyle="1" w:styleId="103">
    <w:name w:val="Default"/>
    <w:autoRedefine/>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04">
    <w:name w:val="列出段落11"/>
    <w:basedOn w:val="1"/>
    <w:autoRedefine/>
    <w:unhideWhenUsed/>
    <w:qFormat/>
    <w:uiPriority w:val="34"/>
    <w:pPr>
      <w:ind w:firstLine="420" w:firstLineChars="200"/>
    </w:pPr>
  </w:style>
  <w:style w:type="paragraph" w:customStyle="1" w:styleId="105">
    <w:name w:val="Table Paragraph"/>
    <w:basedOn w:val="1"/>
    <w:autoRedefine/>
    <w:qFormat/>
    <w:uiPriority w:val="0"/>
    <w:pPr>
      <w:autoSpaceDE w:val="0"/>
      <w:autoSpaceDN w:val="0"/>
      <w:adjustRightInd w:val="0"/>
      <w:jc w:val="left"/>
    </w:pPr>
    <w:rPr>
      <w:rFonts w:ascii="宋体" w:hAnsi="宋体" w:cs="宋体"/>
      <w:kern w:val="0"/>
      <w:sz w:val="24"/>
    </w:rPr>
  </w:style>
  <w:style w:type="character" w:customStyle="1" w:styleId="106">
    <w:name w:val="font11"/>
    <w:basedOn w:val="52"/>
    <w:autoRedefine/>
    <w:qFormat/>
    <w:uiPriority w:val="0"/>
    <w:rPr>
      <w:rFonts w:hint="eastAsia" w:ascii="宋体" w:hAnsi="宋体" w:eastAsia="宋体" w:cs="宋体"/>
      <w:b/>
      <w:color w:val="000000"/>
      <w:sz w:val="21"/>
      <w:szCs w:val="21"/>
      <w:u w:val="none"/>
    </w:rPr>
  </w:style>
  <w:style w:type="character" w:customStyle="1" w:styleId="107">
    <w:name w:val="批注文字 Char1"/>
    <w:autoRedefine/>
    <w:qFormat/>
    <w:locked/>
    <w:uiPriority w:val="0"/>
    <w:rPr>
      <w:rFonts w:ascii="Calibri" w:hAnsi="Calibri" w:eastAsia="宋体" w:cs="Calibri"/>
      <w:szCs w:val="21"/>
    </w:rPr>
  </w:style>
  <w:style w:type="character" w:customStyle="1" w:styleId="108">
    <w:name w:val="title1"/>
    <w:autoRedefine/>
    <w:qFormat/>
    <w:uiPriority w:val="0"/>
    <w:rPr>
      <w:rFonts w:hint="eastAsia" w:ascii="微软雅黑" w:hAnsi="微软雅黑" w:eastAsia="微软雅黑"/>
      <w:sz w:val="21"/>
      <w:szCs w:val="21"/>
    </w:rPr>
  </w:style>
  <w:style w:type="character" w:customStyle="1" w:styleId="109">
    <w:name w:val="sect2title1"/>
    <w:autoRedefine/>
    <w:qFormat/>
    <w:uiPriority w:val="0"/>
    <w:rPr>
      <w:rFonts w:hint="eastAsia" w:ascii="微软雅黑" w:hAnsi="微软雅黑" w:eastAsia="微软雅黑"/>
      <w:b/>
      <w:bCs/>
      <w:sz w:val="21"/>
      <w:szCs w:val="21"/>
    </w:rPr>
  </w:style>
  <w:style w:type="paragraph" w:customStyle="1" w:styleId="110">
    <w:name w:val="标题1"/>
    <w:basedOn w:val="1"/>
    <w:autoRedefine/>
    <w:qFormat/>
    <w:uiPriority w:val="0"/>
    <w:pPr>
      <w:widowControl/>
      <w:spacing w:before="100" w:beforeAutospacing="1" w:after="100" w:afterAutospacing="1"/>
      <w:ind w:firstLine="480"/>
      <w:jc w:val="left"/>
    </w:pPr>
    <w:rPr>
      <w:rFonts w:ascii="微软雅黑" w:hAnsi="微软雅黑" w:eastAsia="微软雅黑" w:cs="宋体"/>
      <w:kern w:val="0"/>
      <w:szCs w:val="21"/>
    </w:rPr>
  </w:style>
  <w:style w:type="character" w:customStyle="1" w:styleId="111">
    <w:name w:val="font01"/>
    <w:basedOn w:val="52"/>
    <w:autoRedefine/>
    <w:qFormat/>
    <w:uiPriority w:val="0"/>
    <w:rPr>
      <w:rFonts w:ascii="Tahoma" w:hAnsi="Tahoma" w:eastAsia="Tahoma" w:cs="Tahoma"/>
      <w:color w:val="000000"/>
      <w:sz w:val="20"/>
      <w:szCs w:val="20"/>
      <w:u w:val="none"/>
    </w:rPr>
  </w:style>
  <w:style w:type="paragraph" w:customStyle="1" w:styleId="112">
    <w:name w:val="font5"/>
    <w:basedOn w:val="1"/>
    <w:autoRedefine/>
    <w:qFormat/>
    <w:uiPriority w:val="0"/>
    <w:pPr>
      <w:widowControl/>
      <w:spacing w:before="100" w:beforeAutospacing="1" w:after="100" w:afterAutospacing="1"/>
      <w:jc w:val="left"/>
    </w:pPr>
    <w:rPr>
      <w:rFonts w:ascii="宋体" w:hAnsi="宋体" w:cs="宋体"/>
      <w:kern w:val="0"/>
      <w:sz w:val="32"/>
      <w:szCs w:val="32"/>
    </w:rPr>
  </w:style>
  <w:style w:type="paragraph" w:customStyle="1" w:styleId="113">
    <w:name w:val="font6"/>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114">
    <w:name w:val="font7"/>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115">
    <w:name w:val="font8"/>
    <w:basedOn w:val="1"/>
    <w:autoRedefine/>
    <w:qFormat/>
    <w:uiPriority w:val="0"/>
    <w:pPr>
      <w:widowControl/>
      <w:spacing w:before="100" w:beforeAutospacing="1" w:after="100" w:afterAutospacing="1"/>
      <w:jc w:val="left"/>
    </w:pPr>
    <w:rPr>
      <w:rFonts w:ascii="宋体" w:hAnsi="宋体" w:cs="宋体"/>
      <w:kern w:val="0"/>
      <w:sz w:val="32"/>
      <w:szCs w:val="32"/>
    </w:rPr>
  </w:style>
  <w:style w:type="paragraph" w:customStyle="1" w:styleId="116">
    <w:name w:val="font9"/>
    <w:basedOn w:val="1"/>
    <w:autoRedefine/>
    <w:qFormat/>
    <w:uiPriority w:val="0"/>
    <w:pPr>
      <w:widowControl/>
      <w:spacing w:before="100" w:beforeAutospacing="1" w:after="100" w:afterAutospacing="1"/>
      <w:jc w:val="left"/>
    </w:pPr>
    <w:rPr>
      <w:rFonts w:ascii="宋体" w:hAnsi="宋体" w:cs="宋体"/>
      <w:kern w:val="0"/>
      <w:sz w:val="32"/>
      <w:szCs w:val="32"/>
    </w:rPr>
  </w:style>
  <w:style w:type="paragraph" w:customStyle="1" w:styleId="117">
    <w:name w:val="xl72"/>
    <w:basedOn w:val="1"/>
    <w:autoRedefine/>
    <w:qFormat/>
    <w:uiPriority w:val="0"/>
    <w:pPr>
      <w:widowControl/>
      <w:spacing w:before="100" w:beforeAutospacing="1" w:after="100" w:afterAutospacing="1"/>
      <w:jc w:val="left"/>
    </w:pPr>
    <w:rPr>
      <w:rFonts w:ascii="新宋体" w:hAnsi="新宋体" w:eastAsia="新宋体" w:cs="宋体"/>
      <w:kern w:val="0"/>
      <w:sz w:val="28"/>
      <w:szCs w:val="28"/>
    </w:rPr>
  </w:style>
  <w:style w:type="paragraph" w:customStyle="1" w:styleId="118">
    <w:name w:val="xl73"/>
    <w:basedOn w:val="1"/>
    <w:autoRedefine/>
    <w:qFormat/>
    <w:uiPriority w:val="0"/>
    <w:pPr>
      <w:widowControl/>
      <w:spacing w:before="100" w:beforeAutospacing="1" w:after="100" w:afterAutospacing="1"/>
      <w:jc w:val="center"/>
      <w:textAlignment w:val="center"/>
    </w:pPr>
    <w:rPr>
      <w:rFonts w:ascii="新宋体" w:hAnsi="新宋体" w:eastAsia="新宋体" w:cs="宋体"/>
      <w:kern w:val="0"/>
      <w:sz w:val="30"/>
      <w:szCs w:val="30"/>
    </w:rPr>
  </w:style>
  <w:style w:type="paragraph" w:customStyle="1" w:styleId="119">
    <w:name w:val="xl74"/>
    <w:basedOn w:val="1"/>
    <w:autoRedefine/>
    <w:qFormat/>
    <w:uiPriority w:val="0"/>
    <w:pPr>
      <w:widowControl/>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0">
    <w:name w:val="xl75"/>
    <w:basedOn w:val="1"/>
    <w:autoRedefine/>
    <w:qFormat/>
    <w:uiPriority w:val="0"/>
    <w:pPr>
      <w:widowControl/>
      <w:spacing w:before="100" w:beforeAutospacing="1" w:after="100" w:afterAutospacing="1"/>
      <w:jc w:val="center"/>
      <w:textAlignment w:val="center"/>
    </w:pPr>
    <w:rPr>
      <w:rFonts w:ascii="新宋体" w:hAnsi="新宋体" w:eastAsia="新宋体" w:cs="宋体"/>
      <w:kern w:val="0"/>
      <w:sz w:val="24"/>
    </w:rPr>
  </w:style>
  <w:style w:type="paragraph" w:customStyle="1" w:styleId="121">
    <w:name w:val="xl76"/>
    <w:basedOn w:val="1"/>
    <w:autoRedefine/>
    <w:qFormat/>
    <w:uiPriority w:val="0"/>
    <w:pPr>
      <w:widowControl/>
      <w:spacing w:before="100" w:beforeAutospacing="1" w:after="100" w:afterAutospacing="1"/>
      <w:jc w:val="center"/>
    </w:pPr>
    <w:rPr>
      <w:rFonts w:ascii="新宋体" w:hAnsi="新宋体" w:eastAsia="新宋体" w:cs="宋体"/>
      <w:kern w:val="0"/>
      <w:sz w:val="24"/>
    </w:rPr>
  </w:style>
  <w:style w:type="paragraph" w:customStyle="1" w:styleId="122">
    <w:name w:val="xl77"/>
    <w:basedOn w:val="1"/>
    <w:autoRedefine/>
    <w:qFormat/>
    <w:uiPriority w:val="0"/>
    <w:pPr>
      <w:widowControl/>
      <w:spacing w:before="100" w:beforeAutospacing="1" w:after="100" w:afterAutospacing="1"/>
      <w:jc w:val="left"/>
    </w:pPr>
    <w:rPr>
      <w:rFonts w:ascii="新宋体" w:hAnsi="新宋体" w:eastAsia="新宋体" w:cs="宋体"/>
      <w:kern w:val="0"/>
      <w:sz w:val="24"/>
    </w:rPr>
  </w:style>
  <w:style w:type="paragraph" w:customStyle="1" w:styleId="123">
    <w:name w:val="xl7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4">
    <w:name w:val="xl7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32"/>
      <w:szCs w:val="32"/>
    </w:rPr>
  </w:style>
  <w:style w:type="paragraph" w:customStyle="1" w:styleId="125">
    <w:name w:val="xl8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kern w:val="0"/>
      <w:sz w:val="32"/>
      <w:szCs w:val="32"/>
    </w:rPr>
  </w:style>
  <w:style w:type="paragraph" w:customStyle="1" w:styleId="126">
    <w:name w:val="xl81"/>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7">
    <w:name w:val="xl8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28">
    <w:name w:val="xl8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29">
    <w:name w:val="xl8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30">
    <w:name w:val="xl8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b/>
      <w:bCs/>
      <w:kern w:val="0"/>
      <w:sz w:val="32"/>
      <w:szCs w:val="32"/>
    </w:rPr>
  </w:style>
  <w:style w:type="paragraph" w:customStyle="1" w:styleId="131">
    <w:name w:val="xl86"/>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32">
    <w:name w:val="xl8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3">
    <w:name w:val="xl8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color w:val="000000"/>
      <w:kern w:val="0"/>
      <w:sz w:val="32"/>
      <w:szCs w:val="32"/>
    </w:rPr>
  </w:style>
  <w:style w:type="paragraph" w:customStyle="1" w:styleId="134">
    <w:name w:val="xl89"/>
    <w:basedOn w:val="1"/>
    <w:autoRedefine/>
    <w:qFormat/>
    <w:uiPriority w:val="0"/>
    <w:pPr>
      <w:widowControl/>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5">
    <w:name w:val="xl9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32"/>
      <w:szCs w:val="32"/>
    </w:rPr>
  </w:style>
  <w:style w:type="paragraph" w:customStyle="1" w:styleId="136">
    <w:name w:val="xl9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37">
    <w:name w:val="xl92"/>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38">
    <w:name w:val="xl9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24"/>
    </w:rPr>
  </w:style>
  <w:style w:type="paragraph" w:customStyle="1" w:styleId="139">
    <w:name w:val="xl9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0">
    <w:name w:val="xl9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1">
    <w:name w:val="xl9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42">
    <w:name w:val="xl9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3">
    <w:name w:val="xl9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44">
    <w:name w:val="xl99"/>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45">
    <w:name w:val="xl100"/>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6">
    <w:name w:val="xl101"/>
    <w:basedOn w:val="1"/>
    <w:autoRedefine/>
    <w:qFormat/>
    <w:uiPriority w:val="0"/>
    <w:pPr>
      <w:widowControl/>
      <w:pBdr>
        <w:top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7">
    <w:name w:val="xl102"/>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8">
    <w:name w:val="xl103"/>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9">
    <w:name w:val="xl10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0">
    <w:name w:val="xl10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51">
    <w:name w:val="xl106"/>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2">
    <w:name w:val="xl107"/>
    <w:basedOn w:val="1"/>
    <w:autoRedefine/>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3">
    <w:name w:val="xl108"/>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4">
    <w:name w:val="xl109"/>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5">
    <w:name w:val="xl110"/>
    <w:basedOn w:val="1"/>
    <w:autoRedefine/>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6">
    <w:name w:val="xl111"/>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7">
    <w:name w:val="xl112"/>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58">
    <w:name w:val="xl113"/>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59">
    <w:name w:val="xl114"/>
    <w:basedOn w:val="1"/>
    <w:autoRedefine/>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0">
    <w:name w:val="xl11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1">
    <w:name w:val="xl116"/>
    <w:basedOn w:val="1"/>
    <w:autoRedefine/>
    <w:qFormat/>
    <w:uiPriority w:val="0"/>
    <w:pPr>
      <w:widowControl/>
      <w:pBdr>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62">
    <w:name w:val="xl117"/>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63">
    <w:name w:val="xl118"/>
    <w:basedOn w:val="1"/>
    <w:autoRedefine/>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4">
    <w:name w:val="xl119"/>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5">
    <w:name w:val="xl12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36"/>
      <w:szCs w:val="36"/>
    </w:rPr>
  </w:style>
  <w:style w:type="character" w:customStyle="1" w:styleId="166">
    <w:name w:val="font41"/>
    <w:basedOn w:val="52"/>
    <w:autoRedefine/>
    <w:qFormat/>
    <w:uiPriority w:val="0"/>
    <w:rPr>
      <w:rFonts w:hint="eastAsia" w:ascii="仿宋_GB2312" w:eastAsia="仿宋_GB2312" w:cs="仿宋_GB2312"/>
      <w:color w:val="000000"/>
      <w:sz w:val="20"/>
      <w:szCs w:val="20"/>
      <w:u w:val="none"/>
    </w:rPr>
  </w:style>
  <w:style w:type="character" w:customStyle="1" w:styleId="167">
    <w:name w:val="font31"/>
    <w:basedOn w:val="52"/>
    <w:autoRedefine/>
    <w:qFormat/>
    <w:uiPriority w:val="0"/>
    <w:rPr>
      <w:rFonts w:hint="default" w:ascii="Symbol" w:hAnsi="Symbol" w:cs="Symbol"/>
      <w:color w:val="000000"/>
      <w:sz w:val="20"/>
      <w:szCs w:val="20"/>
      <w:u w:val="none"/>
    </w:rPr>
  </w:style>
  <w:style w:type="character" w:customStyle="1" w:styleId="168">
    <w:name w:val="font71"/>
    <w:basedOn w:val="52"/>
    <w:autoRedefine/>
    <w:qFormat/>
    <w:uiPriority w:val="0"/>
    <w:rPr>
      <w:rFonts w:ascii="Arial" w:hAnsi="Arial" w:cs="Arial"/>
      <w:color w:val="000000"/>
      <w:sz w:val="20"/>
      <w:szCs w:val="20"/>
      <w:u w:val="none"/>
    </w:rPr>
  </w:style>
  <w:style w:type="character" w:customStyle="1" w:styleId="169">
    <w:name w:val="font21"/>
    <w:basedOn w:val="52"/>
    <w:autoRedefine/>
    <w:qFormat/>
    <w:uiPriority w:val="0"/>
    <w:rPr>
      <w:rFonts w:hint="default" w:ascii="Symbol" w:hAnsi="Symbol" w:cs="Symbol"/>
      <w:color w:val="000000"/>
      <w:sz w:val="20"/>
      <w:szCs w:val="20"/>
      <w:u w:val="none"/>
    </w:rPr>
  </w:style>
  <w:style w:type="character" w:customStyle="1" w:styleId="170">
    <w:name w:val="font91"/>
    <w:basedOn w:val="52"/>
    <w:autoRedefine/>
    <w:qFormat/>
    <w:uiPriority w:val="0"/>
    <w:rPr>
      <w:rFonts w:ascii="Arial" w:hAnsi="Arial" w:cs="Arial"/>
      <w:color w:val="000000"/>
      <w:sz w:val="20"/>
      <w:szCs w:val="20"/>
      <w:u w:val="none"/>
    </w:rPr>
  </w:style>
  <w:style w:type="character" w:customStyle="1" w:styleId="171">
    <w:name w:val="font51"/>
    <w:basedOn w:val="52"/>
    <w:autoRedefine/>
    <w:qFormat/>
    <w:uiPriority w:val="0"/>
    <w:rPr>
      <w:rFonts w:ascii="仿宋" w:hAnsi="仿宋" w:eastAsia="仿宋" w:cs="仿宋"/>
      <w:color w:val="000000"/>
      <w:sz w:val="21"/>
      <w:szCs w:val="21"/>
      <w:u w:val="none"/>
    </w:rPr>
  </w:style>
  <w:style w:type="character" w:customStyle="1" w:styleId="172">
    <w:name w:val="font101"/>
    <w:basedOn w:val="52"/>
    <w:autoRedefine/>
    <w:qFormat/>
    <w:uiPriority w:val="0"/>
    <w:rPr>
      <w:rFonts w:hint="eastAsia" w:ascii="仿宋_GB2312" w:eastAsia="仿宋_GB2312" w:cs="仿宋_GB2312"/>
      <w:color w:val="000000"/>
      <w:sz w:val="20"/>
      <w:szCs w:val="20"/>
      <w:u w:val="none"/>
    </w:rPr>
  </w:style>
  <w:style w:type="character" w:customStyle="1" w:styleId="173">
    <w:name w:val="font61"/>
    <w:basedOn w:val="52"/>
    <w:autoRedefine/>
    <w:qFormat/>
    <w:uiPriority w:val="0"/>
    <w:rPr>
      <w:rFonts w:hint="eastAsia" w:ascii="宋体" w:hAnsi="宋体" w:eastAsia="宋体" w:cs="宋体"/>
      <w:color w:val="000000"/>
      <w:sz w:val="20"/>
      <w:szCs w:val="20"/>
      <w:u w:val="none"/>
    </w:rPr>
  </w:style>
  <w:style w:type="character" w:customStyle="1" w:styleId="174">
    <w:name w:val="font81"/>
    <w:basedOn w:val="52"/>
    <w:autoRedefine/>
    <w:qFormat/>
    <w:uiPriority w:val="0"/>
    <w:rPr>
      <w:rFonts w:hint="eastAsia" w:ascii="仿宋" w:hAnsi="仿宋" w:eastAsia="仿宋" w:cs="仿宋"/>
      <w:color w:val="000000"/>
      <w:sz w:val="21"/>
      <w:szCs w:val="21"/>
      <w:u w:val="none"/>
    </w:rPr>
  </w:style>
  <w:style w:type="character" w:customStyle="1" w:styleId="175">
    <w:name w:val="font111"/>
    <w:basedOn w:val="52"/>
    <w:autoRedefine/>
    <w:qFormat/>
    <w:uiPriority w:val="0"/>
    <w:rPr>
      <w:rFonts w:hint="eastAsia" w:ascii="仿宋_GB2312" w:eastAsia="仿宋_GB2312" w:cs="仿宋_GB2312"/>
      <w:color w:val="000000"/>
      <w:sz w:val="21"/>
      <w:szCs w:val="21"/>
      <w:u w:val="none"/>
    </w:rPr>
  </w:style>
  <w:style w:type="character" w:customStyle="1" w:styleId="176">
    <w:name w:val="font121"/>
    <w:basedOn w:val="52"/>
    <w:autoRedefine/>
    <w:qFormat/>
    <w:uiPriority w:val="0"/>
    <w:rPr>
      <w:rFonts w:ascii="Arial" w:hAnsi="Arial" w:cs="Arial"/>
      <w:color w:val="000000"/>
      <w:sz w:val="20"/>
      <w:szCs w:val="20"/>
      <w:u w:val="none"/>
    </w:rPr>
  </w:style>
  <w:style w:type="character" w:customStyle="1" w:styleId="177">
    <w:name w:val="font112"/>
    <w:basedOn w:val="52"/>
    <w:autoRedefine/>
    <w:qFormat/>
    <w:uiPriority w:val="0"/>
    <w:rPr>
      <w:rFonts w:hint="eastAsia" w:ascii="仿宋_GB2312" w:eastAsia="仿宋_GB2312" w:cs="仿宋_GB2312"/>
      <w:color w:val="000000"/>
      <w:sz w:val="21"/>
      <w:szCs w:val="21"/>
      <w:u w:val="none"/>
    </w:rPr>
  </w:style>
  <w:style w:type="paragraph" w:customStyle="1" w:styleId="178">
    <w:name w:val="xl29164"/>
    <w:basedOn w:val="1"/>
    <w:autoRedefine/>
    <w:qFormat/>
    <w:uiPriority w:val="0"/>
    <w:pPr>
      <w:widowControl/>
      <w:spacing w:before="100" w:beforeAutospacing="1" w:after="100" w:afterAutospacing="1"/>
      <w:jc w:val="center"/>
    </w:pPr>
    <w:rPr>
      <w:rFonts w:ascii="宋体" w:hAnsi="宋体" w:cs="宋体"/>
      <w:color w:val="000000"/>
      <w:kern w:val="0"/>
      <w:sz w:val="22"/>
      <w:szCs w:val="22"/>
    </w:rPr>
  </w:style>
  <w:style w:type="paragraph" w:customStyle="1" w:styleId="179">
    <w:name w:val="xl29165"/>
    <w:basedOn w:val="1"/>
    <w:autoRedefine/>
    <w:qFormat/>
    <w:uiPriority w:val="0"/>
    <w:pPr>
      <w:widowControl/>
      <w:spacing w:before="100" w:beforeAutospacing="1" w:after="100" w:afterAutospacing="1"/>
      <w:jc w:val="center"/>
    </w:pPr>
    <w:rPr>
      <w:rFonts w:ascii="宋体" w:hAnsi="宋体" w:cs="宋体"/>
      <w:kern w:val="0"/>
      <w:sz w:val="24"/>
    </w:rPr>
  </w:style>
  <w:style w:type="paragraph" w:customStyle="1" w:styleId="180">
    <w:name w:val="xl29166"/>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81">
    <w:name w:val="xl29167"/>
    <w:basedOn w:val="1"/>
    <w:autoRedefine/>
    <w:qFormat/>
    <w:uiPriority w:val="0"/>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182">
    <w:name w:val="xl2916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83">
    <w:name w:val="xl2916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4">
    <w:name w:val="xl2917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185">
    <w:name w:val="xl2917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6">
    <w:name w:val="xl2917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87">
    <w:name w:val="xl2917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8">
    <w:name w:val="xl2917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89">
    <w:name w:val="xl2917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0">
    <w:name w:val="xl2917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1">
    <w:name w:val="xl2917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2">
    <w:name w:val="xl2917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3">
    <w:name w:val="xl2917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4">
    <w:name w:val="xl2918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5">
    <w:name w:val="xl291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6">
    <w:name w:val="xl2918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7">
    <w:name w:val="xl2918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2"/>
      <w:szCs w:val="22"/>
    </w:rPr>
  </w:style>
  <w:style w:type="paragraph" w:customStyle="1" w:styleId="198">
    <w:name w:val="xl2918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199">
    <w:name w:val="xl291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00">
    <w:name w:val="xl2918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1">
    <w:name w:val="xl2918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02">
    <w:name w:val="xl2918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03">
    <w:name w:val="xl2918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4">
    <w:name w:val="xl2919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5">
    <w:name w:val="xl2919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6">
    <w:name w:val="xl2919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7">
    <w:name w:val="xl2919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8">
    <w:name w:val="xl2919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9">
    <w:name w:val="xl29195"/>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0">
    <w:name w:val="xl29196"/>
    <w:basedOn w:val="1"/>
    <w:autoRedefine/>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1">
    <w:name w:val="xl29197"/>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2">
    <w:name w:val="xl29198"/>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3">
    <w:name w:val="xl29199"/>
    <w:basedOn w:val="1"/>
    <w:autoRedefine/>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4">
    <w:name w:val="xl29200"/>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5">
    <w:name w:val="xl2920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6">
    <w:name w:val="xl2920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7">
    <w:name w:val="xl2920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8">
    <w:name w:val="xl3030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9">
    <w:name w:val="xl3030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0">
    <w:name w:val="xl3030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1">
    <w:name w:val="xl30307"/>
    <w:basedOn w:val="1"/>
    <w:autoRedefine/>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222">
    <w:name w:val="xl3030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3">
    <w:name w:val="xl3030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4">
    <w:name w:val="xl30310"/>
    <w:basedOn w:val="1"/>
    <w:autoRedefine/>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5">
    <w:name w:val="xl30311"/>
    <w:basedOn w:val="1"/>
    <w:autoRedefine/>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6">
    <w:name w:val="xl30312"/>
    <w:basedOn w:val="1"/>
    <w:autoRedefine/>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7">
    <w:name w:val="xl3031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28">
    <w:name w:val="xl3031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9">
    <w:name w:val="xl3031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0">
    <w:name w:val="xl3031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31">
    <w:name w:val="xl3031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2">
    <w:name w:val="xl3031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233">
    <w:name w:val="xl3031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4">
    <w:name w:val="xl3032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5">
    <w:name w:val="xl3032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236">
    <w:name w:val="xl3032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7">
    <w:name w:val="xl30323"/>
    <w:basedOn w:val="1"/>
    <w:autoRedefine/>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8">
    <w:name w:val="xl30324"/>
    <w:basedOn w:val="1"/>
    <w:autoRedefine/>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9">
    <w:name w:val="xl30325"/>
    <w:basedOn w:val="1"/>
    <w:autoRedefine/>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40">
    <w:name w:val="xl3032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1">
    <w:name w:val="xl3032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2">
    <w:name w:val="xl3032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3">
    <w:name w:val="xl3032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4">
    <w:name w:val="xl3033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245">
    <w:name w:val="xl3033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46">
    <w:name w:val="xl3033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7">
    <w:name w:val="xl6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48">
    <w:name w:val="xl6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49">
    <w:name w:val="xl6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0">
    <w:name w:val="xl6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51">
    <w:name w:val="xl6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2">
    <w:name w:val="xl7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53">
    <w:name w:val="xl7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54">
    <w:name w:val="reader-word-layer"/>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55">
    <w:name w:val=".正文"/>
    <w:basedOn w:val="1"/>
    <w:autoRedefine/>
    <w:qFormat/>
    <w:uiPriority w:val="0"/>
    <w:pPr>
      <w:spacing w:beforeLines="50"/>
      <w:ind w:firstLine="200" w:firstLineChars="200"/>
    </w:pPr>
    <w:rPr>
      <w:rFonts w:ascii="Calibri" w:hAnsi="Calibri" w:eastAsia="华文仿宋"/>
      <w:szCs w:val="22"/>
    </w:rPr>
  </w:style>
  <w:style w:type="paragraph" w:customStyle="1" w:styleId="256">
    <w:name w:val="正文A缩进"/>
    <w:basedOn w:val="1"/>
    <w:autoRedefine/>
    <w:qFormat/>
    <w:uiPriority w:val="0"/>
    <w:pPr>
      <w:spacing w:line="360" w:lineRule="auto"/>
      <w:ind w:firstLine="200" w:firstLineChars="200"/>
    </w:pPr>
    <w:rPr>
      <w:kern w:val="0"/>
      <w:sz w:val="28"/>
      <w:szCs w:val="20"/>
    </w:rPr>
  </w:style>
  <w:style w:type="paragraph" w:customStyle="1" w:styleId="257">
    <w:name w:val="_Style 1"/>
    <w:autoRedefine/>
    <w:qFormat/>
    <w:uiPriority w:val="0"/>
    <w:pPr>
      <w:adjustRightInd w:val="0"/>
      <w:snapToGrid w:val="0"/>
      <w:jc w:val="center"/>
    </w:pPr>
    <w:rPr>
      <w:rFonts w:ascii="Tahoma" w:hAnsi="Tahoma" w:eastAsia="宋体" w:cs="Times New Roman"/>
      <w:b/>
      <w:sz w:val="52"/>
      <w:szCs w:val="22"/>
      <w:lang w:val="en-US" w:eastAsia="zh-CN" w:bidi="ar-SA"/>
    </w:rPr>
  </w:style>
  <w:style w:type="character" w:customStyle="1" w:styleId="258">
    <w:name w:val="标题 5 Char"/>
    <w:basedOn w:val="52"/>
    <w:autoRedefine/>
    <w:qFormat/>
    <w:uiPriority w:val="0"/>
    <w:rPr>
      <w:b/>
      <w:bCs/>
      <w:kern w:val="2"/>
      <w:sz w:val="28"/>
      <w:szCs w:val="28"/>
    </w:rPr>
  </w:style>
  <w:style w:type="character" w:customStyle="1" w:styleId="259">
    <w:name w:val="标题 6 Char"/>
    <w:basedOn w:val="52"/>
    <w:autoRedefine/>
    <w:qFormat/>
    <w:uiPriority w:val="9"/>
    <w:rPr>
      <w:rFonts w:asciiTheme="majorHAnsi" w:hAnsiTheme="majorHAnsi" w:eastAsiaTheme="majorEastAsia" w:cstheme="majorBidi"/>
      <w:b/>
      <w:bCs/>
      <w:kern w:val="2"/>
      <w:sz w:val="24"/>
      <w:szCs w:val="24"/>
    </w:rPr>
  </w:style>
  <w:style w:type="character" w:customStyle="1" w:styleId="260">
    <w:name w:val="标题 7 Char"/>
    <w:basedOn w:val="52"/>
    <w:autoRedefine/>
    <w:qFormat/>
    <w:uiPriority w:val="9"/>
    <w:rPr>
      <w:b/>
      <w:bCs/>
      <w:kern w:val="2"/>
      <w:sz w:val="24"/>
      <w:szCs w:val="24"/>
    </w:rPr>
  </w:style>
  <w:style w:type="character" w:customStyle="1" w:styleId="261">
    <w:name w:val="标题 8 Char"/>
    <w:basedOn w:val="52"/>
    <w:autoRedefine/>
    <w:qFormat/>
    <w:uiPriority w:val="9"/>
    <w:rPr>
      <w:rFonts w:asciiTheme="majorHAnsi" w:hAnsiTheme="majorHAnsi" w:eastAsiaTheme="majorEastAsia" w:cstheme="majorBidi"/>
      <w:kern w:val="2"/>
      <w:sz w:val="24"/>
      <w:szCs w:val="24"/>
    </w:rPr>
  </w:style>
  <w:style w:type="character" w:customStyle="1" w:styleId="262">
    <w:name w:val="标题 9 Char"/>
    <w:basedOn w:val="52"/>
    <w:autoRedefine/>
    <w:qFormat/>
    <w:uiPriority w:val="0"/>
    <w:rPr>
      <w:rFonts w:asciiTheme="majorHAnsi" w:hAnsiTheme="majorHAnsi" w:eastAsiaTheme="majorEastAsia" w:cstheme="majorBidi"/>
      <w:kern w:val="2"/>
      <w:sz w:val="21"/>
      <w:szCs w:val="21"/>
    </w:rPr>
  </w:style>
  <w:style w:type="paragraph" w:customStyle="1" w:styleId="263">
    <w:name w:val="！表格内容"/>
    <w:basedOn w:val="1"/>
    <w:autoRedefine/>
    <w:qFormat/>
    <w:uiPriority w:val="0"/>
    <w:pPr>
      <w:spacing w:line="320" w:lineRule="atLeast"/>
    </w:pPr>
  </w:style>
  <w:style w:type="character" w:customStyle="1" w:styleId="264">
    <w:name w:val="页眉 Char2"/>
    <w:basedOn w:val="52"/>
    <w:autoRedefine/>
    <w:qFormat/>
    <w:uiPriority w:val="99"/>
    <w:rPr>
      <w:rFonts w:ascii="Times New Roman" w:hAnsi="Times New Roman" w:eastAsia="宋体" w:cs="Times New Roman"/>
      <w:sz w:val="18"/>
      <w:szCs w:val="18"/>
    </w:rPr>
  </w:style>
  <w:style w:type="character" w:customStyle="1" w:styleId="265">
    <w:name w:val="页脚 Char1"/>
    <w:basedOn w:val="52"/>
    <w:autoRedefine/>
    <w:qFormat/>
    <w:uiPriority w:val="99"/>
    <w:rPr>
      <w:rFonts w:ascii="Times New Roman" w:hAnsi="Times New Roman" w:eastAsia="宋体" w:cs="Times New Roman"/>
      <w:sz w:val="18"/>
      <w:szCs w:val="18"/>
    </w:rPr>
  </w:style>
  <w:style w:type="paragraph" w:customStyle="1" w:styleId="266">
    <w:name w:val="Ｒ03－xoL"/>
    <w:next w:val="1"/>
    <w:autoRedefine/>
    <w:qFormat/>
    <w:uiPriority w:val="0"/>
    <w:pPr>
      <w:spacing w:line="360" w:lineRule="auto"/>
      <w:ind w:firstLine="560" w:firstLineChars="200"/>
      <w:outlineLvl w:val="2"/>
    </w:pPr>
    <w:rPr>
      <w:rFonts w:ascii="黑体" w:hAnsi="华文细黑" w:eastAsia="黑体" w:cs="Arial"/>
      <w:bCs/>
      <w:snapToGrid w:val="0"/>
      <w:sz w:val="28"/>
      <w:szCs w:val="28"/>
      <w:lang w:val="en-US" w:eastAsia="zh-CN" w:bidi="ar-SA"/>
    </w:rPr>
  </w:style>
  <w:style w:type="character" w:customStyle="1" w:styleId="267">
    <w:name w:val="批注文字 字符"/>
    <w:basedOn w:val="52"/>
    <w:autoRedefine/>
    <w:qFormat/>
    <w:uiPriority w:val="99"/>
    <w:rPr>
      <w:rFonts w:ascii="Times New Roman" w:hAnsi="Times New Roman" w:eastAsia="宋体" w:cs="Times New Roman"/>
      <w:szCs w:val="24"/>
    </w:rPr>
  </w:style>
  <w:style w:type="character" w:customStyle="1" w:styleId="268">
    <w:name w:val="文档结构图 Char1"/>
    <w:basedOn w:val="52"/>
    <w:autoRedefine/>
    <w:qFormat/>
    <w:uiPriority w:val="0"/>
    <w:rPr>
      <w:rFonts w:ascii="宋体" w:hAnsi="Times New Roman" w:eastAsia="宋体" w:cs="Times New Roman"/>
      <w:sz w:val="18"/>
      <w:szCs w:val="18"/>
    </w:rPr>
  </w:style>
  <w:style w:type="character" w:customStyle="1" w:styleId="269">
    <w:name w:val="批注主题 Char1"/>
    <w:basedOn w:val="107"/>
    <w:autoRedefine/>
    <w:qFormat/>
    <w:uiPriority w:val="0"/>
    <w:rPr>
      <w:rFonts w:ascii="Times New Roman" w:hAnsi="Times New Roman" w:eastAsia="宋体" w:cs="Times New Roman"/>
      <w:b/>
      <w:bCs/>
      <w:szCs w:val="24"/>
    </w:rPr>
  </w:style>
  <w:style w:type="character" w:customStyle="1" w:styleId="270">
    <w:name w:val="批注框文本 Char1"/>
    <w:basedOn w:val="52"/>
    <w:autoRedefine/>
    <w:qFormat/>
    <w:uiPriority w:val="0"/>
    <w:rPr>
      <w:rFonts w:ascii="Times New Roman" w:hAnsi="Times New Roman" w:eastAsia="宋体" w:cs="Times New Roman"/>
      <w:sz w:val="18"/>
      <w:szCs w:val="18"/>
    </w:rPr>
  </w:style>
  <w:style w:type="character" w:customStyle="1" w:styleId="271">
    <w:name w:val="标题 1 Char1"/>
    <w:basedOn w:val="52"/>
    <w:autoRedefine/>
    <w:qFormat/>
    <w:uiPriority w:val="0"/>
    <w:rPr>
      <w:b/>
      <w:bCs/>
      <w:kern w:val="44"/>
      <w:sz w:val="44"/>
      <w:szCs w:val="44"/>
    </w:rPr>
  </w:style>
  <w:style w:type="character" w:customStyle="1" w:styleId="272">
    <w:name w:val="标题 2 Char1"/>
    <w:basedOn w:val="52"/>
    <w:autoRedefine/>
    <w:qFormat/>
    <w:uiPriority w:val="0"/>
    <w:rPr>
      <w:rFonts w:asciiTheme="majorHAnsi" w:hAnsiTheme="majorHAnsi" w:eastAsiaTheme="majorEastAsia" w:cstheme="majorBidi"/>
      <w:b/>
      <w:bCs/>
      <w:kern w:val="2"/>
      <w:sz w:val="32"/>
      <w:szCs w:val="32"/>
    </w:rPr>
  </w:style>
  <w:style w:type="character" w:customStyle="1" w:styleId="273">
    <w:name w:val="标题 3 Char1"/>
    <w:basedOn w:val="52"/>
    <w:autoRedefine/>
    <w:qFormat/>
    <w:uiPriority w:val="99"/>
    <w:rPr>
      <w:rFonts w:ascii="宋体" w:hAnsi="Arial"/>
      <w:b/>
      <w:kern w:val="2"/>
      <w:sz w:val="28"/>
    </w:rPr>
  </w:style>
  <w:style w:type="character" w:customStyle="1" w:styleId="274">
    <w:name w:val="Char Char3"/>
    <w:autoRedefine/>
    <w:qFormat/>
    <w:uiPriority w:val="0"/>
    <w:rPr>
      <w:rFonts w:hint="eastAsia" w:ascii="宋体" w:hAnsi="宋体" w:eastAsia="宋体"/>
      <w:kern w:val="2"/>
      <w:sz w:val="21"/>
      <w:szCs w:val="24"/>
      <w:lang w:val="en-US" w:eastAsia="zh-CN" w:bidi="ar-SA"/>
    </w:rPr>
  </w:style>
  <w:style w:type="character" w:customStyle="1" w:styleId="275">
    <w:name w:val="正文－段落 Char Char"/>
    <w:link w:val="276"/>
    <w:autoRedefine/>
    <w:qFormat/>
    <w:uiPriority w:val="0"/>
    <w:rPr>
      <w:rFonts w:eastAsia="Times New Roman"/>
      <w:sz w:val="24"/>
      <w:szCs w:val="24"/>
    </w:rPr>
  </w:style>
  <w:style w:type="paragraph" w:customStyle="1" w:styleId="276">
    <w:name w:val="正文－段落"/>
    <w:link w:val="275"/>
    <w:autoRedefine/>
    <w:qFormat/>
    <w:uiPriority w:val="0"/>
    <w:pPr>
      <w:spacing w:line="360" w:lineRule="auto"/>
      <w:ind w:firstLine="480" w:firstLineChars="200"/>
    </w:pPr>
    <w:rPr>
      <w:rFonts w:ascii="Times New Roman" w:hAnsi="Times New Roman" w:eastAsia="Times New Roman" w:cs="Times New Roman"/>
      <w:sz w:val="24"/>
      <w:szCs w:val="24"/>
      <w:lang w:val="en-US" w:eastAsia="zh-CN" w:bidi="ar-SA"/>
    </w:rPr>
  </w:style>
  <w:style w:type="character" w:customStyle="1" w:styleId="277">
    <w:name w:val="纯文本 Char1"/>
    <w:autoRedefine/>
    <w:qFormat/>
    <w:uiPriority w:val="0"/>
    <w:rPr>
      <w:rFonts w:ascii="宋体" w:hAnsi="Courier New"/>
      <w:spacing w:val="-8"/>
      <w:kern w:val="2"/>
      <w:sz w:val="24"/>
    </w:rPr>
  </w:style>
  <w:style w:type="character" w:customStyle="1" w:styleId="278">
    <w:name w:val="日期 Char"/>
    <w:autoRedefine/>
    <w:qFormat/>
    <w:uiPriority w:val="0"/>
    <w:rPr>
      <w:rFonts w:ascii="宋体" w:hAnsi="宋体"/>
      <w:sz w:val="24"/>
    </w:rPr>
  </w:style>
  <w:style w:type="character" w:customStyle="1" w:styleId="279">
    <w:name w:val="Char Char9"/>
    <w:autoRedefine/>
    <w:qFormat/>
    <w:uiPriority w:val="0"/>
    <w:rPr>
      <w:rFonts w:hint="default" w:ascii="Calibri" w:hAnsi="Calibri" w:eastAsia="宋体"/>
      <w:sz w:val="18"/>
      <w:szCs w:val="18"/>
      <w:lang w:bidi="ar-SA"/>
    </w:rPr>
  </w:style>
  <w:style w:type="character" w:customStyle="1" w:styleId="280">
    <w:name w:val="Char Char17"/>
    <w:autoRedefine/>
    <w:qFormat/>
    <w:uiPriority w:val="0"/>
    <w:rPr>
      <w:rFonts w:hint="eastAsia" w:ascii="仿宋_GB2312" w:hAnsi="Calibri" w:eastAsia="仿宋_GB2312"/>
      <w:b/>
      <w:bCs/>
      <w:color w:val="000000"/>
      <w:kern w:val="2"/>
      <w:sz w:val="32"/>
      <w:szCs w:val="32"/>
      <w:lang w:bidi="ar-SA"/>
    </w:rPr>
  </w:style>
  <w:style w:type="character" w:customStyle="1" w:styleId="281">
    <w:name w:val="HTML 预设格式 Char"/>
    <w:autoRedefine/>
    <w:qFormat/>
    <w:uiPriority w:val="0"/>
    <w:rPr>
      <w:rFonts w:ascii="黑体" w:hAnsi="Courier New" w:eastAsia="黑体" w:cs="Courier New"/>
    </w:rPr>
  </w:style>
  <w:style w:type="character" w:customStyle="1" w:styleId="282">
    <w:name w:val="1.5倍行距 Char Char"/>
    <w:link w:val="283"/>
    <w:autoRedefine/>
    <w:qFormat/>
    <w:uiPriority w:val="0"/>
    <w:rPr>
      <w:kern w:val="2"/>
      <w:sz w:val="21"/>
      <w:szCs w:val="24"/>
    </w:rPr>
  </w:style>
  <w:style w:type="paragraph" w:customStyle="1" w:styleId="283">
    <w:name w:val="1.5倍行距"/>
    <w:basedOn w:val="1"/>
    <w:link w:val="282"/>
    <w:autoRedefine/>
    <w:qFormat/>
    <w:uiPriority w:val="0"/>
    <w:pPr>
      <w:spacing w:line="360" w:lineRule="auto"/>
      <w:ind w:firstLine="420"/>
    </w:pPr>
  </w:style>
  <w:style w:type="character" w:customStyle="1" w:styleId="284">
    <w:name w:val="H2 Char1"/>
    <w:autoRedefine/>
    <w:qFormat/>
    <w:uiPriority w:val="0"/>
    <w:rPr>
      <w:rFonts w:ascii="Cambria" w:hAnsi="Cambria"/>
      <w:b/>
      <w:bCs/>
      <w:sz w:val="32"/>
      <w:szCs w:val="32"/>
    </w:rPr>
  </w:style>
  <w:style w:type="character" w:customStyle="1" w:styleId="285">
    <w:name w:val="Char Char4"/>
    <w:autoRedefine/>
    <w:qFormat/>
    <w:uiPriority w:val="0"/>
    <w:rPr>
      <w:rFonts w:hint="default" w:ascii="Calibri" w:hAnsi="Calibri" w:eastAsia="宋体"/>
      <w:kern w:val="2"/>
      <w:sz w:val="21"/>
      <w:szCs w:val="22"/>
      <w:lang w:val="en-US" w:eastAsia="zh-CN" w:bidi="ar-SA"/>
    </w:rPr>
  </w:style>
  <w:style w:type="character" w:customStyle="1" w:styleId="286">
    <w:name w:val="正文文本缩进 2 Char"/>
    <w:autoRedefine/>
    <w:qFormat/>
    <w:uiPriority w:val="0"/>
    <w:rPr>
      <w:kern w:val="2"/>
      <w:sz w:val="21"/>
    </w:rPr>
  </w:style>
  <w:style w:type="character" w:customStyle="1" w:styleId="287">
    <w:name w:val="签名 字符"/>
    <w:link w:val="33"/>
    <w:autoRedefine/>
    <w:qFormat/>
    <w:uiPriority w:val="0"/>
    <w:rPr>
      <w:rFonts w:eastAsia="楷体_GB2312"/>
      <w:kern w:val="2"/>
      <w:sz w:val="21"/>
    </w:rPr>
  </w:style>
  <w:style w:type="character" w:customStyle="1" w:styleId="288">
    <w:name w:val="标题2 Char"/>
    <w:link w:val="289"/>
    <w:autoRedefine/>
    <w:qFormat/>
    <w:uiPriority w:val="0"/>
    <w:rPr>
      <w:rFonts w:ascii="仿宋" w:hAnsi="仿宋" w:eastAsia="仿宋"/>
      <w:b/>
      <w:bCs/>
      <w:color w:val="000000"/>
      <w:kern w:val="2"/>
      <w:sz w:val="24"/>
      <w:szCs w:val="24"/>
    </w:rPr>
  </w:style>
  <w:style w:type="paragraph" w:customStyle="1" w:styleId="289">
    <w:name w:val="标题2"/>
    <w:basedOn w:val="290"/>
    <w:link w:val="288"/>
    <w:autoRedefine/>
    <w:qFormat/>
    <w:uiPriority w:val="0"/>
    <w:pPr>
      <w:tabs>
        <w:tab w:val="left" w:pos="425"/>
        <w:tab w:val="left" w:pos="709"/>
        <w:tab w:val="left" w:pos="851"/>
        <w:tab w:val="left" w:pos="1419"/>
      </w:tabs>
    </w:pPr>
    <w:rPr>
      <w:szCs w:val="24"/>
    </w:rPr>
  </w:style>
  <w:style w:type="paragraph" w:customStyle="1" w:styleId="290">
    <w:name w:val="三级"/>
    <w:basedOn w:val="3"/>
    <w:link w:val="291"/>
    <w:autoRedefine/>
    <w:qFormat/>
    <w:uiPriority w:val="0"/>
    <w:pPr>
      <w:tabs>
        <w:tab w:val="left" w:pos="425"/>
        <w:tab w:val="left" w:pos="709"/>
        <w:tab w:val="left" w:pos="851"/>
      </w:tabs>
      <w:spacing w:before="240" w:after="240" w:line="360" w:lineRule="auto"/>
      <w:ind w:left="425" w:hanging="425"/>
    </w:pPr>
    <w:rPr>
      <w:rFonts w:ascii="仿宋" w:hAnsi="仿宋" w:eastAsia="仿宋"/>
      <w:color w:val="000000"/>
    </w:rPr>
  </w:style>
  <w:style w:type="character" w:customStyle="1" w:styleId="291">
    <w:name w:val="三级 Char"/>
    <w:link w:val="290"/>
    <w:autoRedefine/>
    <w:qFormat/>
    <w:uiPriority w:val="0"/>
    <w:rPr>
      <w:rFonts w:ascii="仿宋" w:hAnsi="仿宋" w:eastAsia="仿宋"/>
      <w:b/>
      <w:bCs/>
      <w:color w:val="000000"/>
      <w:kern w:val="2"/>
      <w:sz w:val="32"/>
      <w:szCs w:val="32"/>
    </w:rPr>
  </w:style>
  <w:style w:type="character" w:customStyle="1" w:styleId="292">
    <w:name w:val="正文文本首行缩进 2 字符"/>
    <w:link w:val="49"/>
    <w:autoRedefine/>
    <w:qFormat/>
    <w:uiPriority w:val="0"/>
    <w:rPr>
      <w:sz w:val="24"/>
      <w:szCs w:val="24"/>
    </w:rPr>
  </w:style>
  <w:style w:type="character" w:customStyle="1" w:styleId="293">
    <w:name w:val="正文首行缩进 Char Char Char1"/>
    <w:autoRedefine/>
    <w:qFormat/>
    <w:uiPriority w:val="0"/>
    <w:rPr>
      <w:rFonts w:ascii="Times New Roman" w:hAnsi="Times New Roman"/>
      <w:kern w:val="2"/>
      <w:sz w:val="24"/>
      <w:szCs w:val="24"/>
    </w:rPr>
  </w:style>
  <w:style w:type="character" w:customStyle="1" w:styleId="294">
    <w:name w:val="标题 Char1"/>
    <w:autoRedefine/>
    <w:qFormat/>
    <w:uiPriority w:val="0"/>
    <w:rPr>
      <w:rFonts w:ascii="Arial" w:hAnsi="Arial"/>
      <w:b/>
      <w:kern w:val="2"/>
      <w:sz w:val="36"/>
      <w:szCs w:val="24"/>
    </w:rPr>
  </w:style>
  <w:style w:type="character" w:customStyle="1" w:styleId="295">
    <w:name w:val="正文文本 字符"/>
    <w:autoRedefine/>
    <w:qFormat/>
    <w:uiPriority w:val="0"/>
    <w:rPr>
      <w:rFonts w:eastAsia="宋体"/>
      <w:kern w:val="2"/>
      <w:sz w:val="21"/>
      <w:szCs w:val="24"/>
      <w:lang w:bidi="ar-SA"/>
    </w:rPr>
  </w:style>
  <w:style w:type="character" w:customStyle="1" w:styleId="296">
    <w:name w:val="正文文本缩进 Char"/>
    <w:autoRedefine/>
    <w:qFormat/>
    <w:uiPriority w:val="0"/>
    <w:rPr>
      <w:kern w:val="2"/>
      <w:sz w:val="24"/>
    </w:rPr>
  </w:style>
  <w:style w:type="character" w:customStyle="1" w:styleId="297">
    <w:name w:val="题注 字符"/>
    <w:link w:val="15"/>
    <w:autoRedefine/>
    <w:qFormat/>
    <w:uiPriority w:val="0"/>
    <w:rPr>
      <w:rFonts w:ascii="Cambria" w:hAnsi="Cambria" w:eastAsia="黑体"/>
      <w:kern w:val="2"/>
      <w:sz w:val="21"/>
      <w:szCs w:val="24"/>
    </w:rPr>
  </w:style>
  <w:style w:type="character" w:customStyle="1" w:styleId="298">
    <w:name w:val="bt Char1"/>
    <w:autoRedefine/>
    <w:qFormat/>
    <w:uiPriority w:val="0"/>
    <w:rPr>
      <w:rFonts w:ascii="Times New Roman" w:hAnsi="Times New Roman"/>
      <w:kern w:val="2"/>
      <w:sz w:val="24"/>
      <w:szCs w:val="24"/>
    </w:rPr>
  </w:style>
  <w:style w:type="character" w:customStyle="1" w:styleId="299">
    <w:name w:val="Char Char18"/>
    <w:autoRedefine/>
    <w:qFormat/>
    <w:uiPriority w:val="0"/>
    <w:rPr>
      <w:rFonts w:hint="default" w:ascii="Cambria" w:hAnsi="Cambria" w:eastAsia="宋体"/>
      <w:b/>
      <w:bCs/>
      <w:sz w:val="32"/>
      <w:szCs w:val="32"/>
      <w:lang w:bidi="ar-SA"/>
    </w:rPr>
  </w:style>
  <w:style w:type="character" w:customStyle="1" w:styleId="300">
    <w:name w:val="四级 Char"/>
    <w:link w:val="301"/>
    <w:autoRedefine/>
    <w:qFormat/>
    <w:uiPriority w:val="0"/>
    <w:rPr>
      <w:rFonts w:ascii="仿宋" w:hAnsi="仿宋" w:eastAsia="仿宋"/>
      <w:bCs/>
      <w:kern w:val="2"/>
      <w:sz w:val="32"/>
      <w:szCs w:val="32"/>
    </w:rPr>
  </w:style>
  <w:style w:type="paragraph" w:customStyle="1" w:styleId="301">
    <w:name w:val="四级"/>
    <w:basedOn w:val="5"/>
    <w:link w:val="300"/>
    <w:autoRedefine/>
    <w:qFormat/>
    <w:uiPriority w:val="0"/>
    <w:pPr>
      <w:tabs>
        <w:tab w:val="left" w:pos="425"/>
        <w:tab w:val="left" w:pos="851"/>
      </w:tabs>
      <w:spacing w:before="120" w:after="120" w:line="360" w:lineRule="auto"/>
      <w:ind w:left="425" w:hanging="425"/>
    </w:pPr>
    <w:rPr>
      <w:rFonts w:ascii="仿宋" w:hAnsi="仿宋" w:eastAsia="仿宋"/>
      <w:b w:val="0"/>
      <w:sz w:val="32"/>
      <w:szCs w:val="32"/>
    </w:rPr>
  </w:style>
  <w:style w:type="character" w:customStyle="1" w:styleId="302">
    <w:name w:val="cnfont1"/>
    <w:basedOn w:val="52"/>
    <w:autoRedefine/>
    <w:qFormat/>
    <w:uiPriority w:val="0"/>
  </w:style>
  <w:style w:type="character" w:customStyle="1" w:styleId="303">
    <w:name w:val="p141"/>
    <w:autoRedefine/>
    <w:qFormat/>
    <w:uiPriority w:val="0"/>
    <w:rPr>
      <w:sz w:val="21"/>
      <w:szCs w:val="21"/>
    </w:rPr>
  </w:style>
  <w:style w:type="character" w:customStyle="1" w:styleId="304">
    <w:name w:val="正文文本缩进 3 Char"/>
    <w:autoRedefine/>
    <w:qFormat/>
    <w:uiPriority w:val="0"/>
    <w:rPr>
      <w:kern w:val="2"/>
      <w:sz w:val="21"/>
    </w:rPr>
  </w:style>
  <w:style w:type="character" w:customStyle="1" w:styleId="305">
    <w:name w:val="Char Char13"/>
    <w:autoRedefine/>
    <w:qFormat/>
    <w:uiPriority w:val="0"/>
    <w:rPr>
      <w:rFonts w:ascii="Cambria" w:hAnsi="Cambria" w:eastAsia="宋体"/>
      <w:sz w:val="24"/>
      <w:szCs w:val="24"/>
      <w:lang w:bidi="ar-SA"/>
    </w:rPr>
  </w:style>
  <w:style w:type="character" w:customStyle="1" w:styleId="306">
    <w:name w:val="正文文本 2 字符"/>
    <w:link w:val="43"/>
    <w:autoRedefine/>
    <w:qFormat/>
    <w:uiPriority w:val="0"/>
    <w:rPr>
      <w:kern w:val="2"/>
      <w:sz w:val="28"/>
    </w:rPr>
  </w:style>
  <w:style w:type="character" w:customStyle="1" w:styleId="307">
    <w:name w:val="Char Char5"/>
    <w:autoRedefine/>
    <w:qFormat/>
    <w:uiPriority w:val="0"/>
    <w:rPr>
      <w:rFonts w:ascii="宋体" w:hAnsi="宋体" w:eastAsia="宋体"/>
      <w:b/>
      <w:bCs/>
      <w:szCs w:val="24"/>
      <w:lang w:bidi="ar-SA"/>
    </w:rPr>
  </w:style>
  <w:style w:type="character" w:customStyle="1" w:styleId="308">
    <w:name w:val="正文文本 2 Char"/>
    <w:autoRedefine/>
    <w:qFormat/>
    <w:uiPriority w:val="0"/>
    <w:rPr>
      <w:kern w:val="2"/>
      <w:sz w:val="28"/>
    </w:rPr>
  </w:style>
  <w:style w:type="character" w:customStyle="1" w:styleId="309">
    <w:name w:val="Char Char6"/>
    <w:autoRedefine/>
    <w:qFormat/>
    <w:uiPriority w:val="0"/>
    <w:rPr>
      <w:rFonts w:ascii="宋体" w:hAnsi="宋体" w:eastAsia="宋体"/>
      <w:szCs w:val="24"/>
      <w:lang w:bidi="ar-SA"/>
    </w:rPr>
  </w:style>
  <w:style w:type="character" w:customStyle="1" w:styleId="310">
    <w:name w:val="Char Char15"/>
    <w:autoRedefine/>
    <w:qFormat/>
    <w:uiPriority w:val="0"/>
    <w:rPr>
      <w:rFonts w:hint="default" w:ascii="Cambria" w:hAnsi="Cambria" w:eastAsia="宋体"/>
      <w:b/>
      <w:bCs/>
      <w:sz w:val="24"/>
      <w:szCs w:val="24"/>
      <w:lang w:bidi="ar-SA"/>
    </w:rPr>
  </w:style>
  <w:style w:type="character" w:customStyle="1" w:styleId="311">
    <w:name w:val="H4 Char"/>
    <w:autoRedefine/>
    <w:qFormat/>
    <w:uiPriority w:val="0"/>
    <w:rPr>
      <w:rFonts w:ascii="Cambria" w:hAnsi="Cambria" w:eastAsia="仿宋_GB2312"/>
      <w:b/>
      <w:bCs/>
      <w:sz w:val="32"/>
      <w:szCs w:val="28"/>
    </w:rPr>
  </w:style>
  <w:style w:type="character" w:customStyle="1" w:styleId="312">
    <w:name w:val="Char Char20"/>
    <w:autoRedefine/>
    <w:qFormat/>
    <w:uiPriority w:val="0"/>
    <w:rPr>
      <w:rFonts w:eastAsia="宋体"/>
      <w:b/>
      <w:kern w:val="2"/>
      <w:sz w:val="28"/>
      <w:lang w:bidi="ar-SA"/>
    </w:rPr>
  </w:style>
  <w:style w:type="character" w:customStyle="1" w:styleId="313">
    <w:name w:val="正文文本缩进 3 字符"/>
    <w:link w:val="40"/>
    <w:autoRedefine/>
    <w:qFormat/>
    <w:uiPriority w:val="0"/>
    <w:rPr>
      <w:kern w:val="2"/>
      <w:sz w:val="21"/>
    </w:rPr>
  </w:style>
  <w:style w:type="character" w:customStyle="1" w:styleId="314">
    <w:name w:val="Char Char16"/>
    <w:autoRedefine/>
    <w:qFormat/>
    <w:uiPriority w:val="0"/>
    <w:rPr>
      <w:rFonts w:hint="eastAsia" w:ascii="仿宋_GB2313" w:hAnsi="仿宋_GB2313" w:eastAsia="仿宋_GB2312"/>
      <w:b/>
      <w:bCs/>
      <w:sz w:val="32"/>
      <w:szCs w:val="28"/>
      <w:lang w:bidi="ar-SA"/>
    </w:rPr>
  </w:style>
  <w:style w:type="character" w:customStyle="1" w:styleId="315">
    <w:name w:val="Char Char7"/>
    <w:autoRedefine/>
    <w:qFormat/>
    <w:uiPriority w:val="0"/>
    <w:rPr>
      <w:rFonts w:ascii="宋体" w:hAnsi="宋体" w:eastAsia="宋体"/>
      <w:sz w:val="24"/>
      <w:szCs w:val="24"/>
      <w:lang w:bidi="ar-SA"/>
    </w:rPr>
  </w:style>
  <w:style w:type="character" w:customStyle="1" w:styleId="316">
    <w:name w:val="日期 字符"/>
    <w:link w:val="28"/>
    <w:autoRedefine/>
    <w:qFormat/>
    <w:uiPriority w:val="0"/>
    <w:rPr>
      <w:rFonts w:ascii="宋体" w:hAnsi="宋体"/>
      <w:kern w:val="2"/>
      <w:sz w:val="24"/>
      <w:szCs w:val="24"/>
    </w:rPr>
  </w:style>
  <w:style w:type="character" w:customStyle="1" w:styleId="317">
    <w:name w:val="Char Char12"/>
    <w:autoRedefine/>
    <w:qFormat/>
    <w:uiPriority w:val="0"/>
    <w:rPr>
      <w:rFonts w:hint="default" w:ascii="Cambria" w:hAnsi="Cambria" w:eastAsia="宋体"/>
      <w:szCs w:val="21"/>
      <w:lang w:bidi="ar-SA"/>
    </w:rPr>
  </w:style>
  <w:style w:type="character" w:customStyle="1" w:styleId="318">
    <w:name w:val="标题 4 Char"/>
    <w:autoRedefine/>
    <w:qFormat/>
    <w:uiPriority w:val="0"/>
    <w:rPr>
      <w:rFonts w:ascii="Arial" w:hAnsi="Arial" w:eastAsia="黑体"/>
      <w:b/>
      <w:kern w:val="2"/>
      <w:sz w:val="24"/>
    </w:rPr>
  </w:style>
  <w:style w:type="character" w:customStyle="1" w:styleId="319">
    <w:name w:val="Char Char2"/>
    <w:autoRedefine/>
    <w:qFormat/>
    <w:uiPriority w:val="0"/>
    <w:rPr>
      <w:rFonts w:ascii="宋体" w:hAnsi="宋体" w:eastAsia="宋体"/>
      <w:kern w:val="2"/>
      <w:sz w:val="24"/>
      <w:szCs w:val="24"/>
      <w:lang w:val="en-US" w:eastAsia="zh-CN" w:bidi="ar-SA"/>
    </w:rPr>
  </w:style>
  <w:style w:type="character" w:customStyle="1" w:styleId="320">
    <w:name w:val="*正文 Char"/>
    <w:link w:val="321"/>
    <w:autoRedefine/>
    <w:qFormat/>
    <w:uiPriority w:val="0"/>
    <w:rPr>
      <w:rFonts w:ascii="宋体" w:hAnsi="宋体"/>
      <w:sz w:val="24"/>
      <w:szCs w:val="24"/>
    </w:rPr>
  </w:style>
  <w:style w:type="paragraph" w:customStyle="1" w:styleId="321">
    <w:name w:val="*正文"/>
    <w:basedOn w:val="1"/>
    <w:link w:val="320"/>
    <w:autoRedefine/>
    <w:qFormat/>
    <w:uiPriority w:val="0"/>
    <w:pPr>
      <w:spacing w:line="360" w:lineRule="auto"/>
      <w:ind w:firstLine="200" w:firstLineChars="200"/>
    </w:pPr>
    <w:rPr>
      <w:rFonts w:ascii="宋体" w:hAnsi="宋体"/>
      <w:kern w:val="0"/>
      <w:sz w:val="24"/>
    </w:rPr>
  </w:style>
  <w:style w:type="character" w:customStyle="1" w:styleId="322">
    <w:name w:val="页脚 字符1"/>
    <w:autoRedefine/>
    <w:qFormat/>
    <w:uiPriority w:val="0"/>
    <w:rPr>
      <w:rFonts w:eastAsia="宋体"/>
      <w:kern w:val="2"/>
      <w:sz w:val="18"/>
      <w:lang w:bidi="ar-SA"/>
    </w:rPr>
  </w:style>
  <w:style w:type="character" w:customStyle="1" w:styleId="323">
    <w:name w:val="GP正文[858D7CFB-ED40-4347-BF05-701D383B685F]"/>
    <w:link w:val="324"/>
    <w:autoRedefine/>
    <w:qFormat/>
    <w:uiPriority w:val="0"/>
    <w:rPr>
      <w:rFonts w:ascii="宋体" w:hAnsi="宋体"/>
      <w:kern w:val="2"/>
      <w:sz w:val="24"/>
      <w:szCs w:val="24"/>
    </w:rPr>
  </w:style>
  <w:style w:type="paragraph" w:customStyle="1" w:styleId="324">
    <w:name w:val="GP正文"/>
    <w:basedOn w:val="1"/>
    <w:link w:val="323"/>
    <w:autoRedefine/>
    <w:qFormat/>
    <w:uiPriority w:val="0"/>
    <w:pPr>
      <w:spacing w:line="360" w:lineRule="auto"/>
      <w:ind w:firstLine="200" w:firstLineChars="200"/>
      <w:jc w:val="left"/>
    </w:pPr>
    <w:rPr>
      <w:rFonts w:ascii="宋体" w:hAnsi="宋体"/>
      <w:sz w:val="24"/>
    </w:rPr>
  </w:style>
  <w:style w:type="character" w:customStyle="1" w:styleId="325">
    <w:name w:val="Char Char14"/>
    <w:autoRedefine/>
    <w:qFormat/>
    <w:uiPriority w:val="0"/>
    <w:rPr>
      <w:rFonts w:ascii="Calibri" w:hAnsi="Calibri" w:eastAsia="宋体"/>
      <w:b/>
      <w:bCs/>
      <w:sz w:val="24"/>
      <w:szCs w:val="24"/>
      <w:lang w:bidi="ar-SA"/>
    </w:rPr>
  </w:style>
  <w:style w:type="character" w:customStyle="1" w:styleId="326">
    <w:name w:val="Char Char19"/>
    <w:autoRedefine/>
    <w:qFormat/>
    <w:uiPriority w:val="0"/>
    <w:rPr>
      <w:rFonts w:ascii="Arial" w:hAnsi="Arial" w:eastAsia="黑体"/>
      <w:b/>
      <w:kern w:val="2"/>
      <w:sz w:val="24"/>
      <w:lang w:bidi="ar-SA"/>
    </w:rPr>
  </w:style>
  <w:style w:type="character" w:customStyle="1" w:styleId="327">
    <w:name w:val="正文文本 Char1"/>
    <w:autoRedefine/>
    <w:qFormat/>
    <w:uiPriority w:val="0"/>
    <w:rPr>
      <w:kern w:val="2"/>
      <w:sz w:val="21"/>
      <w:szCs w:val="24"/>
    </w:rPr>
  </w:style>
  <w:style w:type="character" w:customStyle="1" w:styleId="328">
    <w:name w:val="二级 Char"/>
    <w:link w:val="329"/>
    <w:autoRedefine/>
    <w:qFormat/>
    <w:uiPriority w:val="0"/>
    <w:rPr>
      <w:rFonts w:ascii="仿宋" w:hAnsi="仿宋" w:eastAsia="仿宋"/>
      <w:b/>
      <w:bCs/>
      <w:spacing w:val="24"/>
      <w:kern w:val="2"/>
      <w:sz w:val="32"/>
      <w:szCs w:val="32"/>
    </w:rPr>
  </w:style>
  <w:style w:type="paragraph" w:customStyle="1" w:styleId="329">
    <w:name w:val="二级"/>
    <w:basedOn w:val="4"/>
    <w:link w:val="328"/>
    <w:autoRedefine/>
    <w:qFormat/>
    <w:uiPriority w:val="0"/>
    <w:pPr>
      <w:tabs>
        <w:tab w:val="left" w:pos="425"/>
        <w:tab w:val="left" w:pos="1419"/>
      </w:tabs>
      <w:spacing w:before="240" w:after="240" w:line="360" w:lineRule="auto"/>
      <w:ind w:left="425" w:hanging="425"/>
    </w:pPr>
    <w:rPr>
      <w:rFonts w:ascii="仿宋" w:hAnsi="仿宋" w:eastAsia="仿宋"/>
      <w:spacing w:val="24"/>
    </w:rPr>
  </w:style>
  <w:style w:type="character" w:customStyle="1" w:styleId="330">
    <w:name w:val="签名 Char"/>
    <w:autoRedefine/>
    <w:qFormat/>
    <w:uiPriority w:val="0"/>
    <w:rPr>
      <w:rFonts w:eastAsia="楷体_GB2312"/>
      <w:kern w:val="2"/>
      <w:sz w:val="21"/>
    </w:rPr>
  </w:style>
  <w:style w:type="character" w:customStyle="1" w:styleId="331">
    <w:name w:val="Char Char"/>
    <w:autoRedefine/>
    <w:qFormat/>
    <w:uiPriority w:val="0"/>
    <w:rPr>
      <w:rFonts w:hint="eastAsia" w:ascii="宋体" w:hAnsi="Courier New" w:eastAsia="宋体"/>
      <w:spacing w:val="-8"/>
      <w:kern w:val="2"/>
      <w:sz w:val="24"/>
      <w:lang w:val="en-US" w:eastAsia="zh-CN" w:bidi="ar-SA"/>
    </w:rPr>
  </w:style>
  <w:style w:type="character" w:customStyle="1" w:styleId="332">
    <w:name w:val="Char Char11"/>
    <w:autoRedefine/>
    <w:qFormat/>
    <w:uiPriority w:val="0"/>
    <w:rPr>
      <w:rFonts w:hint="default" w:ascii="Calibri" w:hAnsi="Calibri" w:eastAsia="宋体"/>
      <w:sz w:val="18"/>
      <w:szCs w:val="18"/>
      <w:lang w:bidi="ar-SA"/>
    </w:rPr>
  </w:style>
  <w:style w:type="character" w:customStyle="1" w:styleId="333">
    <w:name w:val="页眉 字符1"/>
    <w:autoRedefine/>
    <w:qFormat/>
    <w:uiPriority w:val="0"/>
    <w:rPr>
      <w:rFonts w:eastAsia="宋体"/>
      <w:kern w:val="2"/>
      <w:sz w:val="18"/>
      <w:szCs w:val="18"/>
      <w:lang w:bidi="ar-SA"/>
    </w:rPr>
  </w:style>
  <w:style w:type="character" w:customStyle="1" w:styleId="334">
    <w:name w:val="正文首行缩进 Char1"/>
    <w:autoRedefine/>
    <w:qFormat/>
    <w:uiPriority w:val="0"/>
    <w:rPr>
      <w:kern w:val="2"/>
      <w:sz w:val="21"/>
    </w:rPr>
  </w:style>
  <w:style w:type="character" w:customStyle="1" w:styleId="335">
    <w:name w:val="页眉 Char1"/>
    <w:autoRedefine/>
    <w:qFormat/>
    <w:uiPriority w:val="0"/>
    <w:rPr>
      <w:rFonts w:eastAsia="宋体"/>
      <w:kern w:val="2"/>
      <w:sz w:val="18"/>
      <w:szCs w:val="18"/>
      <w:lang w:val="en-US" w:eastAsia="zh-CN" w:bidi="ar-SA"/>
    </w:rPr>
  </w:style>
  <w:style w:type="character" w:customStyle="1" w:styleId="336">
    <w:name w:val="题注 Char"/>
    <w:autoRedefine/>
    <w:qFormat/>
    <w:uiPriority w:val="0"/>
    <w:rPr>
      <w:rFonts w:ascii="Cambria" w:hAnsi="Cambria" w:eastAsia="黑体"/>
      <w:kern w:val="2"/>
      <w:lang w:bidi="ar-SA"/>
    </w:rPr>
  </w:style>
  <w:style w:type="character" w:customStyle="1" w:styleId="337">
    <w:name w:val="样式 标题 3 + 小四 Char"/>
    <w:autoRedefine/>
    <w:qFormat/>
    <w:uiPriority w:val="0"/>
    <w:rPr>
      <w:rFonts w:ascii="宋体" w:hAnsi="宋体" w:cs="Arial"/>
      <w:b/>
      <w:bCs/>
      <w:smallCaps/>
      <w:sz w:val="24"/>
      <w:lang w:val="en-US" w:eastAsia="zh-CN"/>
    </w:rPr>
  </w:style>
  <w:style w:type="character" w:customStyle="1" w:styleId="338">
    <w:name w:val="unnamed21"/>
    <w:autoRedefine/>
    <w:qFormat/>
    <w:uiPriority w:val="0"/>
    <w:rPr>
      <w:color w:val="CC6633"/>
      <w:u w:val="none"/>
    </w:rPr>
  </w:style>
  <w:style w:type="character" w:customStyle="1" w:styleId="339">
    <w:name w:val="16"/>
    <w:autoRedefine/>
    <w:qFormat/>
    <w:uiPriority w:val="0"/>
    <w:rPr>
      <w:rFonts w:hint="eastAsia" w:ascii="宋体" w:hAnsi="宋体" w:eastAsia="宋体" w:cs="Arial"/>
      <w:b/>
      <w:bCs/>
      <w:smallCaps/>
      <w:kern w:val="2"/>
      <w:sz w:val="24"/>
      <w:szCs w:val="24"/>
    </w:rPr>
  </w:style>
  <w:style w:type="character" w:customStyle="1" w:styleId="340">
    <w:name w:val="正文文本缩进 字符"/>
    <w:autoRedefine/>
    <w:qFormat/>
    <w:uiPriority w:val="0"/>
    <w:rPr>
      <w:rFonts w:eastAsia="宋体"/>
      <w:kern w:val="2"/>
      <w:sz w:val="24"/>
      <w:lang w:bidi="ar-SA"/>
    </w:rPr>
  </w:style>
  <w:style w:type="character" w:customStyle="1" w:styleId="341">
    <w:name w:val="Char Char8"/>
    <w:autoRedefine/>
    <w:qFormat/>
    <w:uiPriority w:val="0"/>
    <w:rPr>
      <w:rFonts w:hint="default" w:ascii="Calibri" w:hAnsi="Calibri" w:eastAsia="宋体"/>
      <w:kern w:val="2"/>
      <w:sz w:val="21"/>
      <w:szCs w:val="22"/>
      <w:lang w:val="en-US" w:eastAsia="zh-CN" w:bidi="ar-SA"/>
    </w:rPr>
  </w:style>
  <w:style w:type="character" w:customStyle="1" w:styleId="342">
    <w:name w:val="H3 Char1"/>
    <w:autoRedefine/>
    <w:qFormat/>
    <w:uiPriority w:val="0"/>
    <w:rPr>
      <w:rFonts w:ascii="仿宋_GB2312" w:eastAsia="仿宋_GB2312"/>
      <w:b/>
      <w:bCs/>
      <w:color w:val="000000"/>
      <w:kern w:val="2"/>
      <w:sz w:val="32"/>
      <w:szCs w:val="32"/>
    </w:rPr>
  </w:style>
  <w:style w:type="character" w:customStyle="1" w:styleId="343">
    <w:name w:val="Char Char1"/>
    <w:autoRedefine/>
    <w:qFormat/>
    <w:uiPriority w:val="0"/>
    <w:rPr>
      <w:rFonts w:hint="eastAsia" w:ascii="宋体" w:hAnsi="宋体" w:eastAsia="宋体"/>
      <w:kern w:val="2"/>
      <w:sz w:val="21"/>
      <w:szCs w:val="24"/>
      <w:lang w:val="en-US" w:eastAsia="zh-CN" w:bidi="ar-SA"/>
    </w:rPr>
  </w:style>
  <w:style w:type="character" w:customStyle="1" w:styleId="344">
    <w:name w:val="Char Char10"/>
    <w:autoRedefine/>
    <w:qFormat/>
    <w:uiPriority w:val="0"/>
    <w:rPr>
      <w:rFonts w:eastAsia="宋体"/>
      <w:kern w:val="2"/>
      <w:sz w:val="18"/>
      <w:szCs w:val="18"/>
      <w:lang w:val="en-US" w:eastAsia="zh-CN" w:bidi="ar-SA"/>
    </w:rPr>
  </w:style>
  <w:style w:type="character" w:customStyle="1" w:styleId="345">
    <w:name w:val="文档正文 Char"/>
    <w:link w:val="346"/>
    <w:autoRedefine/>
    <w:qFormat/>
    <w:uiPriority w:val="0"/>
    <w:rPr>
      <w:rFonts w:ascii="Arial" w:hAnsi="Arial" w:cs="Arial"/>
      <w:bCs/>
      <w:kern w:val="2"/>
      <w:sz w:val="24"/>
      <w:szCs w:val="24"/>
    </w:rPr>
  </w:style>
  <w:style w:type="paragraph" w:customStyle="1" w:styleId="346">
    <w:name w:val="文档正文"/>
    <w:basedOn w:val="1"/>
    <w:link w:val="345"/>
    <w:autoRedefine/>
    <w:qFormat/>
    <w:uiPriority w:val="0"/>
    <w:rPr>
      <w:rFonts w:ascii="Arial" w:hAnsi="Arial" w:cs="Arial"/>
      <w:bCs/>
      <w:sz w:val="24"/>
    </w:rPr>
  </w:style>
  <w:style w:type="character" w:customStyle="1" w:styleId="347">
    <w:name w:val="正文文本 2 Char2"/>
    <w:basedOn w:val="52"/>
    <w:autoRedefine/>
    <w:semiHidden/>
    <w:qFormat/>
    <w:uiPriority w:val="0"/>
    <w:rPr>
      <w:kern w:val="2"/>
      <w:sz w:val="21"/>
      <w:szCs w:val="24"/>
    </w:rPr>
  </w:style>
  <w:style w:type="character" w:customStyle="1" w:styleId="348">
    <w:name w:val="标题 字符1"/>
    <w:basedOn w:val="52"/>
    <w:autoRedefine/>
    <w:qFormat/>
    <w:uiPriority w:val="10"/>
    <w:rPr>
      <w:rFonts w:asciiTheme="majorHAnsi" w:hAnsiTheme="majorHAnsi" w:eastAsiaTheme="majorEastAsia" w:cstheme="majorBidi"/>
      <w:b/>
      <w:bCs/>
      <w:kern w:val="2"/>
      <w:sz w:val="32"/>
      <w:szCs w:val="32"/>
    </w:rPr>
  </w:style>
  <w:style w:type="character" w:customStyle="1" w:styleId="349">
    <w:name w:val="正文首行缩进 2 Char1"/>
    <w:basedOn w:val="74"/>
    <w:autoRedefine/>
    <w:qFormat/>
    <w:uiPriority w:val="0"/>
    <w:rPr>
      <w:kern w:val="2"/>
      <w:sz w:val="21"/>
      <w:szCs w:val="24"/>
    </w:rPr>
  </w:style>
  <w:style w:type="character" w:customStyle="1" w:styleId="350">
    <w:name w:val="签名 Char2"/>
    <w:basedOn w:val="52"/>
    <w:autoRedefine/>
    <w:semiHidden/>
    <w:qFormat/>
    <w:uiPriority w:val="0"/>
    <w:rPr>
      <w:kern w:val="2"/>
      <w:sz w:val="21"/>
      <w:szCs w:val="24"/>
    </w:rPr>
  </w:style>
  <w:style w:type="character" w:customStyle="1" w:styleId="351">
    <w:name w:val="正文文本缩进 3 Char2"/>
    <w:basedOn w:val="52"/>
    <w:autoRedefine/>
    <w:semiHidden/>
    <w:qFormat/>
    <w:uiPriority w:val="0"/>
    <w:rPr>
      <w:kern w:val="2"/>
      <w:sz w:val="16"/>
      <w:szCs w:val="16"/>
    </w:rPr>
  </w:style>
  <w:style w:type="character" w:customStyle="1" w:styleId="352">
    <w:name w:val="日期 Char2"/>
    <w:basedOn w:val="52"/>
    <w:autoRedefine/>
    <w:semiHidden/>
    <w:qFormat/>
    <w:uiPriority w:val="0"/>
    <w:rPr>
      <w:kern w:val="2"/>
      <w:sz w:val="21"/>
      <w:szCs w:val="24"/>
    </w:rPr>
  </w:style>
  <w:style w:type="paragraph" w:customStyle="1" w:styleId="353">
    <w:name w:val="Default Paragraph Font Para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354">
    <w:name w:val="xl2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55">
    <w:name w:val="xl3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356">
    <w:name w:val="cnfont"/>
    <w:basedOn w:val="1"/>
    <w:autoRedefine/>
    <w:qFormat/>
    <w:uiPriority w:val="0"/>
    <w:pPr>
      <w:widowControl/>
      <w:spacing w:before="100" w:beforeAutospacing="1" w:after="100" w:afterAutospacing="1"/>
      <w:jc w:val="left"/>
    </w:pPr>
    <w:rPr>
      <w:rFonts w:ascii="宋体" w:hAnsi="宋体"/>
      <w:color w:val="000000"/>
      <w:kern w:val="0"/>
      <w:sz w:val="24"/>
    </w:rPr>
  </w:style>
  <w:style w:type="paragraph" w:customStyle="1" w:styleId="357">
    <w:name w:val="xl3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358">
    <w:name w:val="Table Heading"/>
    <w:basedOn w:val="1"/>
    <w:autoRedefine/>
    <w:qFormat/>
    <w:uiPriority w:val="0"/>
    <w:pPr>
      <w:widowControl/>
      <w:jc w:val="center"/>
    </w:pPr>
    <w:rPr>
      <w:rFonts w:ascii="Arial" w:hAnsi="Arial"/>
      <w:b/>
      <w:kern w:val="0"/>
      <w:sz w:val="18"/>
      <w:szCs w:val="20"/>
    </w:rPr>
  </w:style>
  <w:style w:type="paragraph" w:customStyle="1" w:styleId="359">
    <w:name w:val="4"/>
    <w:basedOn w:val="1"/>
    <w:next w:val="1"/>
    <w:autoRedefine/>
    <w:qFormat/>
    <w:uiPriority w:val="0"/>
  </w:style>
  <w:style w:type="paragraph" w:customStyle="1" w:styleId="360">
    <w:name w:val="xl2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1">
    <w:name w:val="--规划正文"/>
    <w:basedOn w:val="1"/>
    <w:autoRedefine/>
    <w:qFormat/>
    <w:uiPriority w:val="0"/>
    <w:pPr>
      <w:spacing w:line="360" w:lineRule="auto"/>
      <w:ind w:firstLine="200" w:firstLineChars="200"/>
    </w:pPr>
    <w:rPr>
      <w:szCs w:val="20"/>
    </w:rPr>
  </w:style>
  <w:style w:type="paragraph" w:customStyle="1" w:styleId="362">
    <w:name w:val="样式 标题 5H5dashdsddh5PIM 5口一heading 5Titre5Table label...3"/>
    <w:basedOn w:val="6"/>
    <w:autoRedefine/>
    <w:qFormat/>
    <w:uiPriority w:val="0"/>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363">
    <w:name w:val="修订1"/>
    <w:autoRedefine/>
    <w:qFormat/>
    <w:uiPriority w:val="99"/>
    <w:rPr>
      <w:rFonts w:ascii="Times New Roman" w:hAnsi="Times New Roman" w:eastAsia="宋体" w:cs="Times New Roman"/>
      <w:kern w:val="2"/>
      <w:sz w:val="21"/>
      <w:szCs w:val="22"/>
      <w:lang w:val="en-US" w:eastAsia="zh-CN" w:bidi="ar-SA"/>
    </w:rPr>
  </w:style>
  <w:style w:type="paragraph" w:customStyle="1" w:styleId="364">
    <w:name w:val="样式2"/>
    <w:basedOn w:val="25"/>
    <w:autoRedefine/>
    <w:qFormat/>
    <w:uiPriority w:val="0"/>
    <w:pPr>
      <w:tabs>
        <w:tab w:val="right" w:leader="dot" w:pos="9458"/>
      </w:tabs>
    </w:pPr>
    <w:rPr>
      <w:rFonts w:ascii="Arial" w:cs="Arial"/>
      <w:i/>
    </w:rPr>
  </w:style>
  <w:style w:type="paragraph" w:customStyle="1" w:styleId="365">
    <w:name w:val="xl3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6">
    <w:name w:val="l2"/>
    <w:basedOn w:val="1"/>
    <w:autoRedefine/>
    <w:qFormat/>
    <w:uiPriority w:val="0"/>
    <w:pPr>
      <w:keepLines/>
      <w:widowControl/>
      <w:spacing w:beforeLines="50" w:afterLines="50" w:line="300" w:lineRule="auto"/>
    </w:pPr>
    <w:rPr>
      <w:rFonts w:ascii="Arial" w:hAnsi="Arial"/>
      <w:bCs/>
    </w:rPr>
  </w:style>
  <w:style w:type="paragraph" w:customStyle="1" w:styleId="367">
    <w:name w:val="样式5"/>
    <w:basedOn w:val="368"/>
    <w:next w:val="368"/>
    <w:autoRedefine/>
    <w:qFormat/>
    <w:uiPriority w:val="0"/>
    <w:pPr>
      <w:tabs>
        <w:tab w:val="right" w:leader="dot" w:pos="9458"/>
      </w:tabs>
    </w:pPr>
  </w:style>
  <w:style w:type="paragraph" w:customStyle="1" w:styleId="368">
    <w:name w:val="样式4"/>
    <w:basedOn w:val="34"/>
    <w:autoRedefine/>
    <w:qFormat/>
    <w:uiPriority w:val="0"/>
    <w:pPr>
      <w:tabs>
        <w:tab w:val="right" w:leader="dot" w:pos="9458"/>
      </w:tabs>
    </w:pPr>
    <w:rPr>
      <w:b w:val="0"/>
    </w:rPr>
  </w:style>
  <w:style w:type="paragraph" w:customStyle="1" w:styleId="369">
    <w:name w:val="TOC 标题1"/>
    <w:basedOn w:val="2"/>
    <w:next w:val="1"/>
    <w:autoRedefine/>
    <w:qFormat/>
    <w:uiPriority w:val="39"/>
    <w:pPr>
      <w:widowControl/>
      <w:spacing w:before="480" w:after="0" w:line="276" w:lineRule="auto"/>
      <w:jc w:val="left"/>
      <w:outlineLvl w:val="9"/>
    </w:pPr>
    <w:rPr>
      <w:rFonts w:ascii="Cambria" w:hAnsi="Cambria" w:eastAsia="宋体"/>
      <w:bCs/>
      <w:color w:val="365F91"/>
      <w:kern w:val="0"/>
    </w:rPr>
  </w:style>
  <w:style w:type="paragraph" w:customStyle="1" w:styleId="370">
    <w:name w:val="xl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371">
    <w:name w:val="Char Char Char Char Char Char1 Char1"/>
    <w:basedOn w:val="1"/>
    <w:autoRedefine/>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372">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3">
    <w:name w:val="Table Body"/>
    <w:basedOn w:val="1"/>
    <w:autoRedefine/>
    <w:qFormat/>
    <w:uiPriority w:val="0"/>
    <w:pPr>
      <w:widowControl/>
      <w:jc w:val="center"/>
    </w:pPr>
    <w:rPr>
      <w:rFonts w:ascii="Arial" w:hAnsi="Arial"/>
      <w:snapToGrid w:val="0"/>
      <w:kern w:val="0"/>
      <w:sz w:val="18"/>
      <w:szCs w:val="20"/>
    </w:rPr>
  </w:style>
  <w:style w:type="paragraph" w:customStyle="1" w:styleId="374">
    <w:name w:val="xl44"/>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5">
    <w:name w:val="正文_1_0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6">
    <w:name w:val="xl39"/>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7">
    <w:name w:val="签名 - 公司"/>
    <w:basedOn w:val="33"/>
    <w:next w:val="378"/>
    <w:autoRedefine/>
    <w:qFormat/>
    <w:uiPriority w:val="0"/>
    <w:pPr>
      <w:keepNext/>
      <w:widowControl/>
      <w:tabs>
        <w:tab w:val="left" w:pos="600"/>
        <w:tab w:val="left" w:pos="960"/>
        <w:tab w:val="left" w:pos="1080"/>
      </w:tabs>
      <w:overflowPunct w:val="0"/>
      <w:spacing w:line="360" w:lineRule="auto"/>
      <w:ind w:left="0" w:right="28" w:firstLine="480"/>
      <w:jc w:val="right"/>
    </w:pPr>
    <w:rPr>
      <w:rFonts w:ascii="宋体" w:hAnsi="宋体" w:eastAsia="宋体"/>
      <w:kern w:val="0"/>
    </w:rPr>
  </w:style>
  <w:style w:type="paragraph" w:customStyle="1" w:styleId="378">
    <w:name w:val="关于"/>
    <w:basedOn w:val="1"/>
    <w:next w:val="1"/>
    <w:autoRedefine/>
    <w:qFormat/>
    <w:uiPriority w:val="0"/>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379">
    <w:name w:val="xl43"/>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80">
    <w:name w:val="正文_0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1">
    <w:name w:val="xl42"/>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kern w:val="0"/>
      <w:sz w:val="22"/>
      <w:szCs w:val="22"/>
    </w:rPr>
  </w:style>
  <w:style w:type="paragraph" w:customStyle="1" w:styleId="382">
    <w:name w:val="xl33"/>
    <w:basedOn w:val="1"/>
    <w:autoRedefine/>
    <w:qFormat/>
    <w:uiPriority w:val="0"/>
    <w:pPr>
      <w:widowControl/>
      <w:spacing w:before="100" w:beforeAutospacing="1" w:after="100" w:afterAutospacing="1"/>
      <w:jc w:val="left"/>
      <w:textAlignment w:val="center"/>
    </w:pPr>
    <w:rPr>
      <w:rFonts w:ascii="宋体" w:hAnsi="宋体"/>
      <w:b/>
      <w:bCs/>
      <w:kern w:val="0"/>
      <w:sz w:val="28"/>
      <w:szCs w:val="28"/>
    </w:rPr>
  </w:style>
  <w:style w:type="paragraph" w:customStyle="1" w:styleId="383">
    <w:name w:val="xl4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384">
    <w:name w:val="正文缩进1"/>
    <w:basedOn w:val="1"/>
    <w:autoRedefine/>
    <w:qFormat/>
    <w:uiPriority w:val="0"/>
    <w:pPr>
      <w:ind w:firstLine="567"/>
    </w:pPr>
    <w:rPr>
      <w:spacing w:val="20"/>
      <w:sz w:val="24"/>
      <w:szCs w:val="20"/>
    </w:rPr>
  </w:style>
  <w:style w:type="paragraph" w:customStyle="1" w:styleId="385">
    <w:name w:val="_正文"/>
    <w:basedOn w:val="1"/>
    <w:autoRedefine/>
    <w:qFormat/>
    <w:uiPriority w:val="99"/>
    <w:pPr>
      <w:spacing w:line="360" w:lineRule="auto"/>
      <w:ind w:firstLine="200" w:firstLineChars="200"/>
    </w:pPr>
    <w:rPr>
      <w:rFonts w:ascii="宋体" w:hAnsi="宋体"/>
      <w:sz w:val="24"/>
    </w:rPr>
  </w:style>
  <w:style w:type="paragraph" w:customStyle="1" w:styleId="386">
    <w:name w:val="xl46"/>
    <w:basedOn w:val="1"/>
    <w:autoRedefine/>
    <w:qFormat/>
    <w:uiPriority w:val="0"/>
    <w:pPr>
      <w:widowControl/>
      <w:spacing w:before="100" w:beforeAutospacing="1" w:after="100" w:afterAutospacing="1"/>
      <w:jc w:val="left"/>
      <w:textAlignment w:val="center"/>
    </w:pPr>
    <w:rPr>
      <w:rFonts w:ascii="宋体" w:hAnsi="宋体"/>
      <w:kern w:val="0"/>
      <w:sz w:val="22"/>
      <w:szCs w:val="22"/>
    </w:rPr>
  </w:style>
  <w:style w:type="paragraph" w:customStyle="1" w:styleId="387">
    <w:name w:val="列出段落6"/>
    <w:basedOn w:val="1"/>
    <w:autoRedefine/>
    <w:qFormat/>
    <w:uiPriority w:val="0"/>
    <w:pPr>
      <w:ind w:firstLine="420" w:firstLineChars="200"/>
    </w:pPr>
    <w:rPr>
      <w:rFonts w:ascii="仿宋_GB2312" w:eastAsia="仿宋_GB2312" w:cs="宋体"/>
      <w:spacing w:val="6"/>
      <w:sz w:val="30"/>
      <w:szCs w:val="30"/>
    </w:rPr>
  </w:style>
  <w:style w:type="paragraph" w:customStyle="1" w:styleId="388">
    <w:name w:val="_Style 15"/>
    <w:basedOn w:val="1"/>
    <w:autoRedefine/>
    <w:qFormat/>
    <w:uiPriority w:val="0"/>
  </w:style>
  <w:style w:type="paragraph" w:customStyle="1" w:styleId="389">
    <w:name w:val="msonormal"/>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390">
    <w:name w:val="xl45"/>
    <w:basedOn w:val="1"/>
    <w:autoRedefine/>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91">
    <w:name w:val="Char Char Char Char Char Char1 Char"/>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392">
    <w:name w:val="样式 标题 4 + 加粗"/>
    <w:basedOn w:val="5"/>
    <w:next w:val="1"/>
    <w:autoRedefine/>
    <w:qFormat/>
    <w:uiPriority w:val="0"/>
    <w:pPr>
      <w:widowControl/>
      <w:tabs>
        <w:tab w:val="left" w:pos="360"/>
      </w:tabs>
      <w:spacing w:before="0" w:after="0" w:line="240" w:lineRule="auto"/>
      <w:jc w:val="left"/>
    </w:pPr>
    <w:rPr>
      <w:rFonts w:ascii="微软雅黑" w:hAnsi="微软雅黑" w:eastAsia="微软雅黑"/>
      <w:kern w:val="24"/>
      <w:sz w:val="24"/>
      <w:szCs w:val="24"/>
    </w:rPr>
  </w:style>
  <w:style w:type="paragraph" w:customStyle="1" w:styleId="393">
    <w:name w:val="xl51"/>
    <w:basedOn w:val="1"/>
    <w:autoRedefine/>
    <w:qFormat/>
    <w:uiPriority w:val="0"/>
    <w:pPr>
      <w:widowControl/>
      <w:pBdr>
        <w:bottom w:val="single" w:color="auto" w:sz="4" w:space="0"/>
        <w:right w:val="single" w:color="auto" w:sz="4" w:space="0"/>
      </w:pBdr>
      <w:spacing w:before="100" w:beforeAutospacing="1" w:after="100" w:afterAutospacing="1"/>
      <w:textAlignment w:val="center"/>
    </w:pPr>
    <w:rPr>
      <w:rFonts w:ascii="Arial" w:hAnsi="Arial" w:eastAsia="Arial Unicode MS" w:cs="Arial"/>
      <w:kern w:val="0"/>
      <w:szCs w:val="21"/>
    </w:rPr>
  </w:style>
  <w:style w:type="paragraph" w:customStyle="1" w:styleId="394">
    <w:name w:val="xl30"/>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95">
    <w:name w:val="WPSOffice手动目录 2"/>
    <w:autoRedefine/>
    <w:qFormat/>
    <w:uiPriority w:val="0"/>
    <w:pPr>
      <w:ind w:left="200" w:leftChars="200"/>
    </w:pPr>
    <w:rPr>
      <w:rFonts w:ascii="Times New Roman" w:hAnsi="Times New Roman" w:eastAsia="宋体" w:cs="Times New Roman"/>
      <w:lang w:val="en-US" w:eastAsia="zh-CN" w:bidi="ar-SA"/>
    </w:rPr>
  </w:style>
  <w:style w:type="paragraph" w:customStyle="1" w:styleId="396">
    <w:name w:val="样式"/>
    <w:basedOn w:val="1"/>
    <w:next w:val="22"/>
    <w:autoRedefine/>
    <w:qFormat/>
    <w:uiPriority w:val="0"/>
    <w:pPr>
      <w:ind w:left="572" w:right="32" w:firstLine="478"/>
    </w:pPr>
    <w:rPr>
      <w:szCs w:val="21"/>
    </w:rPr>
  </w:style>
  <w:style w:type="paragraph" w:customStyle="1" w:styleId="397">
    <w:name w:val="Bullet w/Single Space"/>
    <w:basedOn w:val="1"/>
    <w:autoRedefine/>
    <w:qFormat/>
    <w:uiPriority w:val="0"/>
    <w:pPr>
      <w:widowControl/>
      <w:numPr>
        <w:ilvl w:val="0"/>
        <w:numId w:val="3"/>
      </w:numPr>
      <w:ind w:left="720"/>
      <w:jc w:val="left"/>
    </w:pPr>
    <w:rPr>
      <w:kern w:val="0"/>
      <w:sz w:val="24"/>
      <w:szCs w:val="20"/>
      <w:lang w:eastAsia="en-US"/>
    </w:rPr>
  </w:style>
  <w:style w:type="paragraph" w:customStyle="1" w:styleId="398">
    <w:name w:val="正文样式"/>
    <w:basedOn w:val="1"/>
    <w:autoRedefine/>
    <w:qFormat/>
    <w:uiPriority w:val="0"/>
    <w:pPr>
      <w:tabs>
        <w:tab w:val="left" w:pos="1560"/>
      </w:tabs>
      <w:spacing w:before="163" w:after="163" w:line="300" w:lineRule="auto"/>
      <w:ind w:left="1560" w:hanging="360"/>
    </w:pPr>
    <w:rPr>
      <w:rFonts w:ascii="宋体"/>
      <w:sz w:val="24"/>
    </w:rPr>
  </w:style>
  <w:style w:type="paragraph" w:customStyle="1" w:styleId="399">
    <w:name w:val="图表"/>
    <w:basedOn w:val="1"/>
    <w:autoRedefine/>
    <w:qFormat/>
    <w:uiPriority w:val="0"/>
    <w:pPr>
      <w:spacing w:line="360" w:lineRule="auto"/>
      <w:ind w:hanging="420"/>
      <w:jc w:val="center"/>
    </w:pPr>
    <w:rPr>
      <w:sz w:val="24"/>
      <w:szCs w:val="20"/>
    </w:rPr>
  </w:style>
  <w:style w:type="paragraph" w:customStyle="1" w:styleId="400">
    <w:name w:val="font0"/>
    <w:basedOn w:val="1"/>
    <w:autoRedefine/>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401">
    <w:name w:val="正文_0"/>
    <w:basedOn w:val="1"/>
    <w:autoRedefine/>
    <w:qFormat/>
    <w:uiPriority w:val="0"/>
  </w:style>
  <w:style w:type="paragraph" w:customStyle="1" w:styleId="402">
    <w:name w:val="z1"/>
    <w:basedOn w:val="1"/>
    <w:autoRedefine/>
    <w:qFormat/>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403">
    <w:name w:val="正文2"/>
    <w:autoRedefine/>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404">
    <w:name w:val="简单回函地址"/>
    <w:basedOn w:val="1"/>
    <w:autoRedefine/>
    <w:qFormat/>
    <w:uiPriority w:val="0"/>
  </w:style>
  <w:style w:type="paragraph" w:customStyle="1" w:styleId="405">
    <w:name w:val="xl4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406">
    <w:name w:val="样式3"/>
    <w:basedOn w:val="25"/>
    <w:autoRedefine/>
    <w:qFormat/>
    <w:uiPriority w:val="0"/>
    <w:pPr>
      <w:tabs>
        <w:tab w:val="right" w:leader="dot" w:pos="9458"/>
      </w:tabs>
    </w:pPr>
    <w:rPr>
      <w:i/>
    </w:rPr>
  </w:style>
  <w:style w:type="paragraph" w:customStyle="1" w:styleId="407">
    <w:name w:val="msolistparagraph"/>
    <w:basedOn w:val="1"/>
    <w:autoRedefine/>
    <w:qFormat/>
    <w:uiPriority w:val="0"/>
    <w:pPr>
      <w:ind w:firstLine="420" w:firstLineChars="200"/>
    </w:pPr>
    <w:rPr>
      <w:rFonts w:ascii="Calibri" w:hAnsi="Calibri"/>
      <w:szCs w:val="22"/>
    </w:rPr>
  </w:style>
  <w:style w:type="paragraph" w:customStyle="1" w:styleId="408">
    <w:name w:val="Char Char16 Char Char"/>
    <w:basedOn w:val="1"/>
    <w:autoRedefine/>
    <w:qFormat/>
    <w:uiPriority w:val="0"/>
    <w:rPr>
      <w:rFonts w:ascii="Tahoma" w:hAnsi="Tahoma"/>
      <w:sz w:val="24"/>
      <w:szCs w:val="20"/>
    </w:rPr>
  </w:style>
  <w:style w:type="paragraph" w:customStyle="1" w:styleId="409">
    <w:name w:val="正文内容"/>
    <w:basedOn w:val="1"/>
    <w:autoRedefine/>
    <w:qFormat/>
    <w:uiPriority w:val="0"/>
    <w:rPr>
      <w:rFonts w:ascii="Arial" w:hAnsi="Arial"/>
      <w:spacing w:val="-12"/>
      <w:szCs w:val="20"/>
    </w:rPr>
  </w:style>
  <w:style w:type="paragraph" w:customStyle="1" w:styleId="410">
    <w:name w:val="xl2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1">
    <w:name w:val="xl3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12">
    <w:name w:val="WPSOffice手动目录 1"/>
    <w:autoRedefine/>
    <w:qFormat/>
    <w:uiPriority w:val="0"/>
    <w:rPr>
      <w:rFonts w:ascii="Times New Roman" w:hAnsi="Times New Roman" w:eastAsia="宋体" w:cs="Times New Roman"/>
      <w:lang w:val="en-US" w:eastAsia="zh-CN" w:bidi="ar-SA"/>
    </w:rPr>
  </w:style>
  <w:style w:type="paragraph" w:customStyle="1" w:styleId="413">
    <w:name w:val="图"/>
    <w:basedOn w:val="1"/>
    <w:autoRedefine/>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414">
    <w:name w:val="xl2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5">
    <w:name w:val="WPSOffice手动目录 3"/>
    <w:autoRedefine/>
    <w:qFormat/>
    <w:uiPriority w:val="0"/>
    <w:pPr>
      <w:ind w:left="400" w:leftChars="400"/>
    </w:pPr>
    <w:rPr>
      <w:rFonts w:ascii="Times New Roman" w:hAnsi="Times New Roman" w:eastAsia="宋体" w:cs="Times New Roman"/>
      <w:lang w:val="en-US" w:eastAsia="zh-CN" w:bidi="ar-SA"/>
    </w:rPr>
  </w:style>
  <w:style w:type="paragraph" w:customStyle="1" w:styleId="416">
    <w:name w:val="正文(首行缩进)"/>
    <w:autoRedefine/>
    <w:qFormat/>
    <w:uiPriority w:val="0"/>
    <w:pPr>
      <w:adjustRightInd w:val="0"/>
      <w:snapToGrid w:val="0"/>
      <w:spacing w:line="360" w:lineRule="auto"/>
      <w:ind w:firstLine="200" w:firstLineChars="200"/>
      <w:jc w:val="both"/>
    </w:pPr>
    <w:rPr>
      <w:rFonts w:ascii="Times New Roman" w:hAnsi="Times New Roman" w:eastAsia="仿宋_GB2312" w:cs="Times New Roman"/>
      <w:spacing w:val="2"/>
      <w:kern w:val="24"/>
      <w:sz w:val="24"/>
      <w:szCs w:val="24"/>
      <w:lang w:val="en-US" w:eastAsia="zh-CN" w:bidi="ar-SA"/>
    </w:rPr>
  </w:style>
  <w:style w:type="paragraph" w:customStyle="1" w:styleId="417">
    <w:name w:val="xl6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18">
    <w:name w:val="Char1 Char Char Char Char Char Char Char Char"/>
    <w:basedOn w:val="1"/>
    <w:autoRedefine/>
    <w:qFormat/>
    <w:uiPriority w:val="0"/>
  </w:style>
  <w:style w:type="paragraph" w:customStyle="1" w:styleId="419">
    <w:name w:val="xl31"/>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420">
    <w:name w:val="xl48"/>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1">
    <w:name w:val="标题5"/>
    <w:basedOn w:val="1"/>
    <w:autoRedefine/>
    <w:qFormat/>
    <w:uiPriority w:val="0"/>
    <w:pPr>
      <w:spacing w:before="120" w:after="120"/>
    </w:pPr>
    <w:rPr>
      <w:rFonts w:ascii="宋体"/>
      <w:b/>
      <w:sz w:val="28"/>
    </w:rPr>
  </w:style>
  <w:style w:type="paragraph" w:customStyle="1" w:styleId="422">
    <w:name w:val="xl49"/>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3">
    <w:name w:val="正文-段落"/>
    <w:autoRedefine/>
    <w:qFormat/>
    <w:uiPriority w:val="0"/>
    <w:pPr>
      <w:spacing w:line="360" w:lineRule="auto"/>
      <w:ind w:firstLine="200" w:firstLineChars="200"/>
    </w:pPr>
    <w:rPr>
      <w:rFonts w:ascii="Times New Roman" w:hAnsi="Times New Roman" w:eastAsia="宋体" w:cs="Cambria"/>
      <w:sz w:val="24"/>
      <w:szCs w:val="24"/>
      <w:lang w:val="en-GB" w:eastAsia="zh-CN" w:bidi="ar-SA"/>
    </w:rPr>
  </w:style>
  <w:style w:type="paragraph" w:customStyle="1" w:styleId="424">
    <w:name w:val="xl6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25">
    <w:name w:val="Char4"/>
    <w:basedOn w:val="1"/>
    <w:autoRedefine/>
    <w:qFormat/>
    <w:uiPriority w:val="0"/>
    <w:pPr>
      <w:ind w:left="980" w:hanging="420"/>
    </w:pPr>
    <w:rPr>
      <w:sz w:val="24"/>
    </w:rPr>
  </w:style>
  <w:style w:type="paragraph" w:customStyle="1" w:styleId="426">
    <w:name w:val="xl47"/>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7">
    <w:name w:val="xl37"/>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428">
    <w:name w:val="样式 首行缩进:  0.85 厘米"/>
    <w:basedOn w:val="1"/>
    <w:autoRedefine/>
    <w:qFormat/>
    <w:uiPriority w:val="0"/>
    <w:pPr>
      <w:ind w:firstLine="480" w:firstLineChars="200"/>
    </w:pPr>
    <w:rPr>
      <w:rFonts w:cs="宋体"/>
      <w:szCs w:val="20"/>
    </w:rPr>
  </w:style>
  <w:style w:type="paragraph" w:customStyle="1" w:styleId="429">
    <w:name w:val="xl32"/>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0">
    <w:name w:val="xl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1">
    <w:name w:val="font2"/>
    <w:basedOn w:val="1"/>
    <w:autoRedefine/>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432">
    <w:name w:val="font3"/>
    <w:basedOn w:val="1"/>
    <w:autoRedefine/>
    <w:qFormat/>
    <w:uiPriority w:val="0"/>
    <w:pPr>
      <w:widowControl/>
      <w:spacing w:before="100" w:beforeAutospacing="1" w:after="100" w:afterAutospacing="1"/>
      <w:jc w:val="left"/>
    </w:pPr>
    <w:rPr>
      <w:color w:val="000000"/>
      <w:kern w:val="0"/>
      <w:sz w:val="14"/>
      <w:szCs w:val="14"/>
    </w:rPr>
  </w:style>
  <w:style w:type="paragraph" w:customStyle="1" w:styleId="433">
    <w:name w:val="et2"/>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4">
    <w:name w:val="et4"/>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5">
    <w:name w:val="et5"/>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6">
    <w:name w:val="et6"/>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7">
    <w:name w:val="et7"/>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8">
    <w:name w:val="et8"/>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9">
    <w:name w:val="et9"/>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0">
    <w:name w:val="et11"/>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1">
    <w:name w:val="et12"/>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2">
    <w:name w:val="et14"/>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3">
    <w:name w:val="et15"/>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4">
    <w:name w:val="et16"/>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5">
    <w:name w:val="et17"/>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6">
    <w:name w:val="et18"/>
    <w:basedOn w:val="1"/>
    <w:autoRedefine/>
    <w:qFormat/>
    <w:uiPriority w:val="0"/>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447">
    <w:name w:val="et19"/>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8">
    <w:name w:val="et20"/>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9">
    <w:name w:val="et21"/>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0">
    <w:name w:val="et22"/>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1">
    <w:name w:val="et23"/>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2">
    <w:name w:val="et24"/>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3">
    <w:name w:val="p9"/>
    <w:basedOn w:val="1"/>
    <w:autoRedefine/>
    <w:qFormat/>
    <w:uiPriority w:val="0"/>
    <w:pPr>
      <w:widowControl/>
      <w:spacing w:before="100" w:beforeAutospacing="1" w:after="100" w:afterAutospacing="1"/>
      <w:jc w:val="left"/>
    </w:pPr>
    <w:rPr>
      <w:rFonts w:eastAsia="Arial Unicode MS" w:cs="Arial Unicode MS" w:asciiTheme="minorHAnsi" w:hAnsiTheme="minorHAnsi"/>
      <w:color w:val="000000"/>
      <w:kern w:val="0"/>
      <w:sz w:val="18"/>
      <w:szCs w:val="18"/>
    </w:rPr>
  </w:style>
  <w:style w:type="character" w:customStyle="1" w:styleId="454">
    <w:name w:val="列表段落 字符1"/>
    <w:link w:val="455"/>
    <w:autoRedefine/>
    <w:qFormat/>
    <w:uiPriority w:val="34"/>
    <w:rPr>
      <w:kern w:val="2"/>
      <w:sz w:val="21"/>
      <w:szCs w:val="24"/>
    </w:rPr>
  </w:style>
  <w:style w:type="paragraph" w:styleId="455">
    <w:name w:val="List Paragraph"/>
    <w:basedOn w:val="1"/>
    <w:link w:val="454"/>
    <w:autoRedefine/>
    <w:qFormat/>
    <w:uiPriority w:val="34"/>
    <w:pPr>
      <w:ind w:firstLine="420" w:firstLineChars="200"/>
    </w:pPr>
  </w:style>
  <w:style w:type="paragraph" w:customStyle="1" w:styleId="456">
    <w:name w:val="yiv1649619028msonormal"/>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457">
    <w:name w:val="评价"/>
    <w:basedOn w:val="1"/>
    <w:autoRedefine/>
    <w:qFormat/>
    <w:uiPriority w:val="0"/>
    <w:pPr>
      <w:spacing w:afterLines="20"/>
      <w:ind w:firstLine="1446" w:firstLineChars="200"/>
    </w:pPr>
    <w:rPr>
      <w:rFonts w:ascii="Calibri" w:hAnsi="Calibri"/>
      <w:sz w:val="24"/>
    </w:rPr>
  </w:style>
  <w:style w:type="character" w:customStyle="1" w:styleId="458">
    <w:name w:val="正文文本 3 字符"/>
    <w:basedOn w:val="52"/>
    <w:link w:val="19"/>
    <w:autoRedefine/>
    <w:qFormat/>
    <w:uiPriority w:val="0"/>
    <w:rPr>
      <w:kern w:val="2"/>
      <w:sz w:val="16"/>
      <w:szCs w:val="16"/>
    </w:rPr>
  </w:style>
  <w:style w:type="character" w:customStyle="1" w:styleId="459">
    <w:name w:val="content"/>
    <w:basedOn w:val="52"/>
    <w:autoRedefine/>
    <w:qFormat/>
    <w:uiPriority w:val="0"/>
  </w:style>
  <w:style w:type="character" w:customStyle="1" w:styleId="460">
    <w:name w:val="ca-3"/>
    <w:basedOn w:val="52"/>
    <w:autoRedefine/>
    <w:qFormat/>
    <w:uiPriority w:val="0"/>
  </w:style>
  <w:style w:type="character" w:customStyle="1" w:styleId="461">
    <w:name w:val="textcontents1"/>
    <w:autoRedefine/>
    <w:qFormat/>
    <w:uiPriority w:val="0"/>
    <w:rPr>
      <w:rFonts w:hint="default" w:ascii="ˎ̥" w:hAnsi="ˎ̥"/>
      <w:sz w:val="21"/>
      <w:szCs w:val="21"/>
    </w:rPr>
  </w:style>
  <w:style w:type="character" w:customStyle="1" w:styleId="462">
    <w:name w:val="脚注文本 Char1"/>
    <w:autoRedefine/>
    <w:qFormat/>
    <w:uiPriority w:val="0"/>
    <w:rPr>
      <w:kern w:val="2"/>
      <w:sz w:val="18"/>
      <w:szCs w:val="18"/>
    </w:rPr>
  </w:style>
  <w:style w:type="character" w:customStyle="1" w:styleId="463">
    <w:name w:val="脚注文本 Char"/>
    <w:autoRedefine/>
    <w:qFormat/>
    <w:uiPriority w:val="0"/>
    <w:rPr>
      <w:kern w:val="2"/>
      <w:sz w:val="18"/>
      <w:szCs w:val="18"/>
    </w:rPr>
  </w:style>
  <w:style w:type="character" w:customStyle="1" w:styleId="464">
    <w:name w:val="正文首行缩进（绿盟科技） Char"/>
    <w:link w:val="465"/>
    <w:autoRedefine/>
    <w:qFormat/>
    <w:uiPriority w:val="0"/>
    <w:rPr>
      <w:rFonts w:ascii="Arial" w:hAnsi="Arial"/>
      <w:szCs w:val="21"/>
    </w:rPr>
  </w:style>
  <w:style w:type="paragraph" w:customStyle="1" w:styleId="465">
    <w:name w:val="正文首行缩进（绿盟科技）"/>
    <w:basedOn w:val="1"/>
    <w:link w:val="464"/>
    <w:autoRedefine/>
    <w:qFormat/>
    <w:uiPriority w:val="0"/>
    <w:pPr>
      <w:widowControl/>
      <w:spacing w:after="50" w:line="300" w:lineRule="auto"/>
      <w:ind w:firstLine="200" w:firstLineChars="200"/>
      <w:jc w:val="left"/>
    </w:pPr>
    <w:rPr>
      <w:rFonts w:ascii="Arial" w:hAnsi="Arial"/>
      <w:kern w:val="0"/>
      <w:sz w:val="20"/>
      <w:szCs w:val="21"/>
    </w:rPr>
  </w:style>
  <w:style w:type="character" w:customStyle="1" w:styleId="466">
    <w:name w:val="c lh15"/>
    <w:basedOn w:val="52"/>
    <w:autoRedefine/>
    <w:qFormat/>
    <w:uiPriority w:val="0"/>
  </w:style>
  <w:style w:type="character" w:customStyle="1" w:styleId="467">
    <w:name w:val="Char Char21"/>
    <w:autoRedefine/>
    <w:qFormat/>
    <w:uiPriority w:val="0"/>
    <w:rPr>
      <w:b/>
      <w:bCs/>
      <w:kern w:val="2"/>
      <w:sz w:val="32"/>
      <w:szCs w:val="32"/>
    </w:rPr>
  </w:style>
  <w:style w:type="character" w:customStyle="1" w:styleId="468">
    <w:name w:val="content1"/>
    <w:autoRedefine/>
    <w:qFormat/>
    <w:uiPriority w:val="0"/>
    <w:rPr>
      <w:rFonts w:hint="default" w:ascii="??" w:hAnsi="??"/>
      <w:sz w:val="16"/>
      <w:szCs w:val="16"/>
      <w:u w:val="none"/>
    </w:rPr>
  </w:style>
  <w:style w:type="character" w:customStyle="1" w:styleId="469">
    <w:name w:val="text21"/>
    <w:basedOn w:val="52"/>
    <w:autoRedefine/>
    <w:qFormat/>
    <w:uiPriority w:val="0"/>
  </w:style>
  <w:style w:type="character" w:customStyle="1" w:styleId="470">
    <w:name w:val="apple-style-span"/>
    <w:basedOn w:val="52"/>
    <w:autoRedefine/>
    <w:qFormat/>
    <w:uiPriority w:val="0"/>
  </w:style>
  <w:style w:type="paragraph" w:customStyle="1" w:styleId="471">
    <w:name w:val="缺省文本"/>
    <w:basedOn w:val="1"/>
    <w:autoRedefine/>
    <w:qFormat/>
    <w:uiPriority w:val="0"/>
    <w:pPr>
      <w:autoSpaceDE w:val="0"/>
      <w:autoSpaceDN w:val="0"/>
      <w:adjustRightInd w:val="0"/>
      <w:jc w:val="left"/>
    </w:pPr>
    <w:rPr>
      <w:kern w:val="0"/>
      <w:sz w:val="24"/>
    </w:rPr>
  </w:style>
  <w:style w:type="paragraph" w:customStyle="1" w:styleId="472">
    <w:name w:val="xl62"/>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kern w:val="0"/>
      <w:sz w:val="24"/>
    </w:rPr>
  </w:style>
  <w:style w:type="paragraph" w:customStyle="1" w:styleId="473">
    <w:name w:val="1"/>
    <w:basedOn w:val="1"/>
    <w:next w:val="26"/>
    <w:autoRedefine/>
    <w:qFormat/>
    <w:uiPriority w:val="0"/>
    <w:rPr>
      <w:rFonts w:ascii="宋体" w:hAnsi="Courier New"/>
      <w:szCs w:val="20"/>
    </w:rPr>
  </w:style>
  <w:style w:type="paragraph" w:customStyle="1" w:styleId="474">
    <w:name w:val="xl57"/>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75">
    <w:name w:val="Char Char Char Char Char Char Char1"/>
    <w:basedOn w:val="1"/>
    <w:autoRedefine/>
    <w:qFormat/>
    <w:uiPriority w:val="0"/>
    <w:pPr>
      <w:widowControl/>
      <w:spacing w:after="160" w:line="240" w:lineRule="exact"/>
      <w:jc w:val="left"/>
    </w:pPr>
  </w:style>
  <w:style w:type="paragraph" w:customStyle="1" w:styleId="476">
    <w:name w:val="USE 1"/>
    <w:basedOn w:val="1"/>
    <w:autoRedefine/>
    <w:qFormat/>
    <w:uiPriority w:val="0"/>
    <w:pPr>
      <w:spacing w:line="200" w:lineRule="atLeast"/>
      <w:jc w:val="left"/>
    </w:pPr>
    <w:rPr>
      <w:rFonts w:ascii="宋体" w:hAnsi="宋体"/>
      <w:b/>
      <w:sz w:val="24"/>
      <w:szCs w:val="28"/>
    </w:rPr>
  </w:style>
  <w:style w:type="paragraph" w:customStyle="1" w:styleId="477">
    <w:name w:val="xl6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478">
    <w:name w:val="xl6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79">
    <w:name w:val="正文 2"/>
    <w:basedOn w:val="1"/>
    <w:autoRedefine/>
    <w:qFormat/>
    <w:uiPriority w:val="0"/>
    <w:pPr>
      <w:autoSpaceDE w:val="0"/>
      <w:autoSpaceDN w:val="0"/>
      <w:adjustRightInd w:val="0"/>
      <w:snapToGrid w:val="0"/>
      <w:spacing w:before="80" w:after="40" w:line="360" w:lineRule="auto"/>
      <w:ind w:left="1134"/>
      <w:jc w:val="left"/>
    </w:pPr>
    <w:rPr>
      <w:kern w:val="0"/>
      <w:sz w:val="24"/>
      <w:szCs w:val="20"/>
    </w:rPr>
  </w:style>
  <w:style w:type="paragraph" w:customStyle="1" w:styleId="480">
    <w:name w:val="_Style 54"/>
    <w:basedOn w:val="1"/>
    <w:next w:val="26"/>
    <w:autoRedefine/>
    <w:qFormat/>
    <w:uiPriority w:val="0"/>
    <w:rPr>
      <w:rFonts w:ascii="宋体" w:hAnsi="Courier New"/>
      <w:szCs w:val="20"/>
    </w:rPr>
  </w:style>
  <w:style w:type="character" w:customStyle="1" w:styleId="481">
    <w:name w:val="脚注文本 字符"/>
    <w:basedOn w:val="52"/>
    <w:link w:val="38"/>
    <w:autoRedefine/>
    <w:semiHidden/>
    <w:qFormat/>
    <w:uiPriority w:val="0"/>
    <w:rPr>
      <w:kern w:val="2"/>
      <w:sz w:val="18"/>
      <w:szCs w:val="18"/>
    </w:rPr>
  </w:style>
  <w:style w:type="paragraph" w:customStyle="1" w:styleId="482">
    <w:name w:val="_Style 56"/>
    <w:basedOn w:val="1"/>
    <w:next w:val="26"/>
    <w:autoRedefine/>
    <w:qFormat/>
    <w:uiPriority w:val="0"/>
    <w:rPr>
      <w:rFonts w:ascii="宋体" w:hAnsi="Courier New"/>
      <w:szCs w:val="20"/>
    </w:rPr>
  </w:style>
  <w:style w:type="paragraph" w:customStyle="1" w:styleId="483">
    <w:name w:val="Char Char Char Char2"/>
    <w:basedOn w:val="1"/>
    <w:autoRedefine/>
    <w:qFormat/>
    <w:uiPriority w:val="0"/>
    <w:pPr>
      <w:widowControl/>
      <w:spacing w:after="160" w:line="240" w:lineRule="exact"/>
      <w:jc w:val="center"/>
    </w:pPr>
  </w:style>
  <w:style w:type="paragraph" w:customStyle="1" w:styleId="484">
    <w:name w:val="font10"/>
    <w:basedOn w:val="1"/>
    <w:autoRedefine/>
    <w:qFormat/>
    <w:uiPriority w:val="0"/>
    <w:pPr>
      <w:widowControl/>
      <w:spacing w:before="100" w:beforeAutospacing="1" w:after="100" w:afterAutospacing="1"/>
      <w:jc w:val="left"/>
    </w:pPr>
    <w:rPr>
      <w:rFonts w:hint="eastAsia" w:ascii="宋体" w:hAnsi="宋体"/>
      <w:b/>
      <w:bCs/>
      <w:color w:val="000000"/>
      <w:kern w:val="0"/>
      <w:sz w:val="18"/>
      <w:szCs w:val="18"/>
    </w:rPr>
  </w:style>
  <w:style w:type="paragraph" w:customStyle="1" w:styleId="485">
    <w:name w:val="xl5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86">
    <w:name w:val="xl55"/>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87">
    <w:name w:val="px16"/>
    <w:basedOn w:val="1"/>
    <w:autoRedefine/>
    <w:qFormat/>
    <w:uiPriority w:val="0"/>
    <w:pPr>
      <w:widowControl/>
      <w:spacing w:before="100" w:beforeAutospacing="1" w:after="100" w:afterAutospacing="1" w:line="360" w:lineRule="auto"/>
      <w:jc w:val="left"/>
    </w:pPr>
    <w:rPr>
      <w:rFonts w:ascii="宋体" w:hAnsi="宋体"/>
      <w:kern w:val="0"/>
      <w:sz w:val="24"/>
    </w:rPr>
  </w:style>
  <w:style w:type="paragraph" w:customStyle="1" w:styleId="488">
    <w:name w:val="正文首行缩进1(Crlf+Shift+M)"/>
    <w:autoRedefine/>
    <w:qFormat/>
    <w:uiPriority w:val="0"/>
    <w:pPr>
      <w:spacing w:before="120" w:after="120" w:line="360" w:lineRule="auto"/>
      <w:ind w:firstLine="420" w:firstLineChars="200"/>
    </w:pPr>
    <w:rPr>
      <w:rFonts w:ascii="Arial" w:hAnsi="Arial" w:eastAsia="宋体" w:cs="Times New Roman"/>
      <w:kern w:val="2"/>
      <w:sz w:val="21"/>
      <w:lang w:val="en-US" w:eastAsia="zh-CN" w:bidi="ar-SA"/>
    </w:rPr>
  </w:style>
  <w:style w:type="paragraph" w:customStyle="1" w:styleId="489">
    <w:name w:val="Char2 Char Char Char Char Char Char"/>
    <w:basedOn w:val="1"/>
    <w:autoRedefine/>
    <w:qFormat/>
    <w:uiPriority w:val="0"/>
    <w:pPr>
      <w:widowControl/>
      <w:spacing w:after="160" w:line="240" w:lineRule="exact"/>
      <w:jc w:val="left"/>
    </w:pPr>
  </w:style>
  <w:style w:type="paragraph" w:customStyle="1" w:styleId="490">
    <w:name w:val="_Style 50"/>
    <w:basedOn w:val="1"/>
    <w:next w:val="29"/>
    <w:autoRedefine/>
    <w:qFormat/>
    <w:uiPriority w:val="0"/>
    <w:pPr>
      <w:adjustRightInd w:val="0"/>
      <w:snapToGrid w:val="0"/>
      <w:spacing w:line="300" w:lineRule="auto"/>
      <w:ind w:firstLine="630" w:firstLineChars="300"/>
    </w:pPr>
    <w:rPr>
      <w:snapToGrid w:val="0"/>
      <w:kern w:val="0"/>
    </w:rPr>
  </w:style>
  <w:style w:type="paragraph" w:customStyle="1" w:styleId="491">
    <w:name w:val="修订2"/>
    <w:autoRedefine/>
    <w:semiHidden/>
    <w:qFormat/>
    <w:uiPriority w:val="99"/>
    <w:rPr>
      <w:rFonts w:ascii="Times New Roman" w:hAnsi="Times New Roman" w:eastAsia="宋体" w:cs="Times New Roman"/>
      <w:kern w:val="2"/>
      <w:sz w:val="21"/>
      <w:szCs w:val="24"/>
      <w:lang w:val="en-US" w:eastAsia="zh-CN" w:bidi="ar-SA"/>
    </w:rPr>
  </w:style>
  <w:style w:type="paragraph" w:customStyle="1" w:styleId="492">
    <w:name w:val="xl50"/>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493">
    <w:name w:val="xl54"/>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94">
    <w:name w:val="5"/>
    <w:basedOn w:val="1"/>
    <w:next w:val="26"/>
    <w:autoRedefine/>
    <w:qFormat/>
    <w:uiPriority w:val="0"/>
    <w:rPr>
      <w:rFonts w:ascii="宋体" w:hAnsi="Courier New"/>
      <w:szCs w:val="20"/>
    </w:rPr>
  </w:style>
  <w:style w:type="paragraph" w:customStyle="1" w:styleId="495">
    <w:name w:val="Char Char Char"/>
    <w:basedOn w:val="1"/>
    <w:autoRedefine/>
    <w:qFormat/>
    <w:uiPriority w:val="0"/>
    <w:rPr>
      <w:szCs w:val="20"/>
    </w:rPr>
  </w:style>
  <w:style w:type="paragraph" w:customStyle="1" w:styleId="496">
    <w:name w:val="Char2"/>
    <w:basedOn w:val="1"/>
    <w:autoRedefine/>
    <w:qFormat/>
    <w:uiPriority w:val="0"/>
    <w:rPr>
      <w:rFonts w:ascii="Tahoma" w:hAnsi="Tahoma"/>
      <w:sz w:val="24"/>
      <w:szCs w:val="20"/>
    </w:rPr>
  </w:style>
  <w:style w:type="paragraph" w:customStyle="1" w:styleId="497">
    <w:name w:val="xl5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98">
    <w:name w:val="xl56"/>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99">
    <w:name w:val="xl5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500">
    <w:name w:val="6"/>
    <w:basedOn w:val="1"/>
    <w:next w:val="26"/>
    <w:autoRedefine/>
    <w:qFormat/>
    <w:uiPriority w:val="0"/>
    <w:rPr>
      <w:rFonts w:ascii="宋体" w:hAnsi="Courier New"/>
      <w:szCs w:val="20"/>
    </w:rPr>
  </w:style>
  <w:style w:type="paragraph" w:customStyle="1" w:styleId="501">
    <w:name w:val="2"/>
    <w:basedOn w:val="1"/>
    <w:next w:val="45"/>
    <w:autoRedefine/>
    <w:qFormat/>
    <w:uiPriority w:val="0"/>
    <w:pPr>
      <w:widowControl/>
      <w:spacing w:before="100" w:beforeAutospacing="1" w:after="100" w:afterAutospacing="1"/>
      <w:jc w:val="left"/>
    </w:pPr>
    <w:rPr>
      <w:rFonts w:ascii="宋体" w:hAnsi="宋体"/>
      <w:kern w:val="0"/>
      <w:sz w:val="24"/>
    </w:rPr>
  </w:style>
  <w:style w:type="paragraph" w:customStyle="1" w:styleId="502">
    <w:name w:val="7"/>
    <w:basedOn w:val="1"/>
    <w:next w:val="29"/>
    <w:autoRedefine/>
    <w:qFormat/>
    <w:uiPriority w:val="0"/>
    <w:pPr>
      <w:adjustRightInd w:val="0"/>
      <w:snapToGrid w:val="0"/>
      <w:spacing w:line="300" w:lineRule="auto"/>
      <w:ind w:firstLine="630" w:firstLineChars="300"/>
    </w:pPr>
    <w:rPr>
      <w:snapToGrid w:val="0"/>
      <w:kern w:val="0"/>
    </w:rPr>
  </w:style>
  <w:style w:type="paragraph" w:customStyle="1" w:styleId="503">
    <w:name w:val="xl52"/>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504">
    <w:name w:val="TOC 标题2"/>
    <w:basedOn w:val="2"/>
    <w:next w:val="1"/>
    <w:autoRedefine/>
    <w:unhideWhenUsed/>
    <w:qFormat/>
    <w:uiPriority w:val="39"/>
    <w:pPr>
      <w:widowControl/>
      <w:spacing w:before="480" w:after="0" w:line="276" w:lineRule="auto"/>
      <w:jc w:val="left"/>
      <w:outlineLvl w:val="9"/>
    </w:pPr>
    <w:rPr>
      <w:rFonts w:asciiTheme="majorHAnsi" w:hAnsiTheme="majorHAnsi" w:eastAsiaTheme="majorEastAsia" w:cstheme="majorBidi"/>
      <w:bCs/>
      <w:color w:val="366091" w:themeColor="accent1" w:themeShade="BF"/>
      <w:kern w:val="0"/>
    </w:rPr>
  </w:style>
  <w:style w:type="character" w:customStyle="1" w:styleId="505">
    <w:name w:val="Ｒ07-正!!文 Char Char"/>
    <w:link w:val="506"/>
    <w:autoRedefine/>
    <w:qFormat/>
    <w:uiPriority w:val="0"/>
    <w:rPr>
      <w:rFonts w:ascii="宋体" w:hAnsi="宋体" w:cs="宋体"/>
      <w:snapToGrid w:val="0"/>
      <w:spacing w:val="4"/>
      <w:kern w:val="2"/>
      <w:sz w:val="24"/>
      <w:szCs w:val="24"/>
    </w:rPr>
  </w:style>
  <w:style w:type="paragraph" w:customStyle="1" w:styleId="506">
    <w:name w:val="Ｒ07-正!!文"/>
    <w:link w:val="505"/>
    <w:autoRedefine/>
    <w:qFormat/>
    <w:uiPriority w:val="0"/>
    <w:pPr>
      <w:wordWrap w:val="0"/>
      <w:spacing w:afterLines="20" w:line="312" w:lineRule="auto"/>
      <w:ind w:firstLine="496" w:firstLineChars="200"/>
    </w:pPr>
    <w:rPr>
      <w:rFonts w:ascii="宋体" w:hAnsi="宋体" w:eastAsia="宋体" w:cs="宋体"/>
      <w:snapToGrid w:val="0"/>
      <w:spacing w:val="4"/>
      <w:kern w:val="2"/>
      <w:sz w:val="24"/>
      <w:szCs w:val="24"/>
      <w:lang w:val="en-US" w:eastAsia="zh-CN" w:bidi="ar-SA"/>
    </w:rPr>
  </w:style>
  <w:style w:type="character" w:customStyle="1" w:styleId="507">
    <w:name w:val="Ｒ07-!正! Char Char"/>
    <w:link w:val="508"/>
    <w:autoRedefine/>
    <w:qFormat/>
    <w:uiPriority w:val="0"/>
    <w:rPr>
      <w:rFonts w:ascii="宋体" w:hAnsi="宋体" w:cs="宋体"/>
      <w:snapToGrid w:val="0"/>
      <w:spacing w:val="8"/>
      <w:kern w:val="2"/>
      <w:sz w:val="24"/>
      <w:szCs w:val="24"/>
    </w:rPr>
  </w:style>
  <w:style w:type="paragraph" w:customStyle="1" w:styleId="508">
    <w:name w:val="Ｒ07-!正!"/>
    <w:link w:val="507"/>
    <w:autoRedefine/>
    <w:qFormat/>
    <w:uiPriority w:val="0"/>
    <w:pPr>
      <w:wordWrap w:val="0"/>
      <w:spacing w:afterLines="20" w:line="360" w:lineRule="auto"/>
      <w:ind w:firstLine="512" w:firstLineChars="200"/>
    </w:pPr>
    <w:rPr>
      <w:rFonts w:ascii="宋体" w:hAnsi="宋体" w:eastAsia="宋体" w:cs="宋体"/>
      <w:snapToGrid w:val="0"/>
      <w:spacing w:val="8"/>
      <w:kern w:val="2"/>
      <w:sz w:val="24"/>
      <w:szCs w:val="24"/>
      <w:lang w:val="en-US" w:eastAsia="zh-CN" w:bidi="ar-SA"/>
    </w:rPr>
  </w:style>
  <w:style w:type="paragraph" w:customStyle="1" w:styleId="509">
    <w:name w:val="列出段落111"/>
    <w:basedOn w:val="1"/>
    <w:autoRedefine/>
    <w:qFormat/>
    <w:uiPriority w:val="0"/>
    <w:pPr>
      <w:autoSpaceDE/>
      <w:autoSpaceDN/>
      <w:adjustRightInd/>
      <w:ind w:firstLine="420" w:firstLineChars="200"/>
      <w:jc w:val="both"/>
    </w:pPr>
    <w:rPr>
      <w:rFonts w:ascii="Calibri" w:hAnsi="Calibri" w:cs="Times New Roman"/>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51"/>
    <customShpInfo spid="_x0000_s1052"/>
    <customShpInfo spid="_x0000_s1050"/>
    <customShpInfo spid="_x0000_s1048"/>
    <customShpInfo spid="_x0000_s1047"/>
    <customShpInfo spid="_x0000_s1045"/>
    <customShpInfo spid="_x0000_s104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89BCC2-52E6-4BF5-A498-3ABED31EFC5A}">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75</Pages>
  <Words>8407</Words>
  <Characters>47922</Characters>
  <Lines>399</Lines>
  <Paragraphs>112</Paragraphs>
  <TotalTime>3</TotalTime>
  <ScaleCrop>false</ScaleCrop>
  <LinksUpToDate>false</LinksUpToDate>
  <CharactersWithSpaces>56217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2019-11-08T01:16:00Z</dcterms:created>
  <dc:creator>微软用户</dc:creator>
  <cp:lastModifiedBy>中正招标-李工</cp:lastModifiedBy>
  <cp:lastPrinted>2020-05-26T01:03:00Z</cp:lastPrinted>
  <dcterms:modified xsi:type="dcterms:W3CDTF">2024-04-11T09:14:20Z</dcterms:modified>
  <dc:title>招标编号：UHO2010-G0029</dc:title>
  <cp:revision>712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E7EFCA99BA2A42C1A83BB3F37221F387</vt:lpwstr>
  </property>
</Properties>
</file>